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F983" w14:textId="77777777" w:rsidR="00AE7BE2" w:rsidRPr="00172C7B" w:rsidRDefault="00AE7BE2" w:rsidP="00172C7B">
      <w:pPr>
        <w:tabs>
          <w:tab w:val="left" w:pos="0"/>
        </w:tabs>
      </w:pPr>
    </w:p>
    <w:p w14:paraId="1A27178B" w14:textId="77777777" w:rsidR="00AE7BE2" w:rsidRPr="00172C7B" w:rsidRDefault="00AE7BE2" w:rsidP="00AE7BE2">
      <w:pPr>
        <w:pStyle w:val="Odlomakpopisa"/>
        <w:tabs>
          <w:tab w:val="left" w:pos="0"/>
        </w:tabs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AE7BE2" w:rsidRPr="00172C7B" w14:paraId="0191540B" w14:textId="77777777" w:rsidTr="00375926">
        <w:trPr>
          <w:cantSplit/>
        </w:trPr>
        <w:tc>
          <w:tcPr>
            <w:tcW w:w="3936" w:type="dxa"/>
          </w:tcPr>
          <w:p w14:paraId="68BEFA33" w14:textId="77777777" w:rsidR="00AE7BE2" w:rsidRPr="00172C7B" w:rsidRDefault="00AE7BE2" w:rsidP="00375926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  <w:noProof/>
              </w:rPr>
              <w:drawing>
                <wp:inline distT="0" distB="0" distL="0" distR="0" wp14:anchorId="2D2D02B9" wp14:editId="32CE4900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BE2" w:rsidRPr="00172C7B" w14:paraId="40DE5153" w14:textId="77777777" w:rsidTr="00375926">
        <w:trPr>
          <w:cantSplit/>
        </w:trPr>
        <w:tc>
          <w:tcPr>
            <w:tcW w:w="3936" w:type="dxa"/>
          </w:tcPr>
          <w:p w14:paraId="3F51D17C" w14:textId="77777777" w:rsidR="00AE7BE2" w:rsidRPr="00172C7B" w:rsidRDefault="00AE7BE2" w:rsidP="00375926">
            <w:pPr>
              <w:jc w:val="center"/>
              <w:rPr>
                <w:b/>
                <w:bCs/>
                <w:lang w:val="de-DE"/>
              </w:rPr>
            </w:pPr>
            <w:r w:rsidRPr="00172C7B">
              <w:rPr>
                <w:b/>
                <w:bCs/>
                <w:lang w:val="de-DE"/>
              </w:rPr>
              <w:t>REPUBLIKA HRVATSKA</w:t>
            </w:r>
          </w:p>
        </w:tc>
      </w:tr>
      <w:tr w:rsidR="00AE7BE2" w:rsidRPr="00172C7B" w14:paraId="308DC2BC" w14:textId="77777777" w:rsidTr="00375926">
        <w:trPr>
          <w:cantSplit/>
        </w:trPr>
        <w:tc>
          <w:tcPr>
            <w:tcW w:w="3936" w:type="dxa"/>
          </w:tcPr>
          <w:p w14:paraId="2BE2A2D6" w14:textId="77777777" w:rsidR="00AE7BE2" w:rsidRPr="00172C7B" w:rsidRDefault="00AE7BE2" w:rsidP="00375926">
            <w:pPr>
              <w:jc w:val="center"/>
              <w:rPr>
                <w:b/>
                <w:bCs/>
                <w:lang w:val="de-DE"/>
              </w:rPr>
            </w:pPr>
            <w:r w:rsidRPr="00172C7B">
              <w:rPr>
                <w:b/>
                <w:bCs/>
                <w:lang w:val="de-DE"/>
              </w:rPr>
              <w:t>ISTARSKA ŽUPANIJA</w:t>
            </w:r>
          </w:p>
        </w:tc>
      </w:tr>
      <w:tr w:rsidR="00AE7BE2" w:rsidRPr="00172C7B" w14:paraId="63C997CE" w14:textId="77777777" w:rsidTr="00375926">
        <w:trPr>
          <w:cantSplit/>
        </w:trPr>
        <w:tc>
          <w:tcPr>
            <w:tcW w:w="3936" w:type="dxa"/>
          </w:tcPr>
          <w:p w14:paraId="49747BB7" w14:textId="77777777" w:rsidR="00AE7BE2" w:rsidRPr="00172C7B" w:rsidRDefault="00AE7BE2" w:rsidP="00375926">
            <w:pPr>
              <w:jc w:val="center"/>
              <w:rPr>
                <w:b/>
                <w:bCs/>
                <w:lang w:val="de-DE"/>
              </w:rPr>
            </w:pPr>
            <w:r w:rsidRPr="00172C7B">
              <w:rPr>
                <w:b/>
                <w:bCs/>
                <w:lang w:val="de-DE"/>
              </w:rPr>
              <w:t>GRAD POREČ - PORENZO</w:t>
            </w:r>
          </w:p>
          <w:p w14:paraId="14BAF805" w14:textId="481C0F70" w:rsidR="00AE7BE2" w:rsidRPr="00172C7B" w:rsidRDefault="00AE7BE2" w:rsidP="00375926">
            <w:pPr>
              <w:jc w:val="center"/>
              <w:rPr>
                <w:b/>
                <w:bCs/>
                <w:lang w:val="de-DE"/>
              </w:rPr>
            </w:pPr>
            <w:r w:rsidRPr="00172C7B">
              <w:rPr>
                <w:b/>
                <w:bCs/>
                <w:lang w:val="de-DE"/>
              </w:rPr>
              <w:t>CITT</w:t>
            </w:r>
            <w:r w:rsidR="00172C7B" w:rsidRPr="00172C7B">
              <w:rPr>
                <w:b/>
                <w:bCs/>
                <w:lang w:val="de-DE"/>
              </w:rPr>
              <w:t>À</w:t>
            </w:r>
            <w:r w:rsidRPr="00172C7B">
              <w:rPr>
                <w:b/>
                <w:bCs/>
                <w:lang w:val="de-DE"/>
              </w:rPr>
              <w:t xml:space="preserve"> DI POREČ - PARENZO</w:t>
            </w:r>
          </w:p>
        </w:tc>
      </w:tr>
      <w:tr w:rsidR="00AE7BE2" w:rsidRPr="00172C7B" w14:paraId="4ECD5D80" w14:textId="77777777" w:rsidTr="00375926">
        <w:trPr>
          <w:cantSplit/>
          <w:trHeight w:val="311"/>
        </w:trPr>
        <w:tc>
          <w:tcPr>
            <w:tcW w:w="3936" w:type="dxa"/>
          </w:tcPr>
          <w:p w14:paraId="47D19852" w14:textId="77777777" w:rsidR="00AE7BE2" w:rsidRPr="00172C7B" w:rsidRDefault="00AE7BE2" w:rsidP="00375926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172C7B">
              <w:rPr>
                <w:b/>
                <w:bCs/>
                <w:lang w:val="de-DE"/>
              </w:rPr>
              <w:t>Gradonačelnik</w:t>
            </w:r>
            <w:proofErr w:type="spellEnd"/>
          </w:p>
        </w:tc>
      </w:tr>
    </w:tbl>
    <w:p w14:paraId="6C41DD7F" w14:textId="118992F5" w:rsidR="00172C7B" w:rsidRPr="00172C7B" w:rsidRDefault="00172C7B" w:rsidP="00AE7BE2">
      <w:pPr>
        <w:rPr>
          <w:b/>
          <w:bCs/>
        </w:rPr>
      </w:pPr>
      <w:r w:rsidRPr="00172C7B">
        <w:rPr>
          <w:b/>
          <w:bCs/>
        </w:rPr>
        <w:t>KLASA: 024-01/24-01/372</w:t>
      </w:r>
    </w:p>
    <w:p w14:paraId="706D0BC4" w14:textId="06003972" w:rsidR="00172C7B" w:rsidRPr="00172C7B" w:rsidRDefault="00172C7B" w:rsidP="00AE7BE2">
      <w:pPr>
        <w:rPr>
          <w:b/>
          <w:bCs/>
        </w:rPr>
      </w:pPr>
      <w:r w:rsidRPr="00172C7B">
        <w:rPr>
          <w:b/>
          <w:bCs/>
        </w:rPr>
        <w:t>URBROJ: 2163-6-09/01-24-2</w:t>
      </w:r>
    </w:p>
    <w:p w14:paraId="65865DBB" w14:textId="51A88827" w:rsidR="00172C7B" w:rsidRPr="00172C7B" w:rsidRDefault="00172C7B" w:rsidP="00AE7BE2">
      <w:pPr>
        <w:rPr>
          <w:b/>
          <w:bCs/>
        </w:rPr>
      </w:pPr>
      <w:r w:rsidRPr="00172C7B">
        <w:rPr>
          <w:b/>
          <w:bCs/>
        </w:rPr>
        <w:t>Poreč-Parenzo, 20. studenog 2024.</w:t>
      </w:r>
    </w:p>
    <w:p w14:paraId="497C33C8" w14:textId="77777777" w:rsidR="00172C7B" w:rsidRPr="00172C7B" w:rsidRDefault="00172C7B" w:rsidP="00AE7BE2"/>
    <w:p w14:paraId="38D4056C" w14:textId="4E7D41EC" w:rsidR="00AE7BE2" w:rsidRPr="00172C7B" w:rsidRDefault="00AE7BE2" w:rsidP="00AE7BE2">
      <w:pPr>
        <w:rPr>
          <w:bCs/>
        </w:rPr>
      </w:pPr>
      <w:r w:rsidRPr="00172C7B">
        <w:t>Na temelju članka 53. Statuta Grada Poreča</w:t>
      </w:r>
      <w:r w:rsidR="00172C7B">
        <w:t>-</w:t>
      </w:r>
      <w:r w:rsidRPr="00172C7B">
        <w:t>Parenzo (</w:t>
      </w:r>
      <w:r w:rsidR="00172C7B">
        <w:t>,,</w:t>
      </w:r>
      <w:r w:rsidRPr="00172C7B">
        <w:t>Službeni glasnik Grada Poreča</w:t>
      </w:r>
      <w:r w:rsidR="00172C7B">
        <w:t>-Parenzo“</w:t>
      </w:r>
      <w:r w:rsidRPr="00172C7B">
        <w:t xml:space="preserve"> broj 02/13, 10/18, 01/21 i 12/24), na prijedlog Upravnog odjela za komunalni sustav KLASA: 363-01/24-02/401, URBROJ: 2163-6-05/03-24-1 od 20.11.2024. godine, Gradonačelnik Grada Poreča</w:t>
      </w:r>
      <w:r w:rsidR="00172C7B">
        <w:t>-</w:t>
      </w:r>
      <w:r w:rsidRPr="00172C7B">
        <w:t>Parenzo je donio sljedeći</w:t>
      </w:r>
    </w:p>
    <w:p w14:paraId="38E0E144" w14:textId="77777777" w:rsidR="00AE7BE2" w:rsidRPr="00172C7B" w:rsidRDefault="00AE7BE2" w:rsidP="00AE7BE2"/>
    <w:p w14:paraId="262ED029" w14:textId="77777777" w:rsidR="00AE7BE2" w:rsidRPr="00172C7B" w:rsidRDefault="00AE7BE2" w:rsidP="00AE7BE2"/>
    <w:p w14:paraId="6CF4824B" w14:textId="77777777" w:rsidR="00AE7BE2" w:rsidRPr="00172C7B" w:rsidRDefault="00AE7BE2" w:rsidP="00AE7BE2">
      <w:pPr>
        <w:jc w:val="center"/>
        <w:rPr>
          <w:b/>
        </w:rPr>
      </w:pPr>
      <w:r w:rsidRPr="00172C7B">
        <w:rPr>
          <w:b/>
        </w:rPr>
        <w:t>Z A K L J U Č A K</w:t>
      </w:r>
    </w:p>
    <w:p w14:paraId="7B37696F" w14:textId="77777777" w:rsidR="00AE7BE2" w:rsidRPr="00172C7B" w:rsidRDefault="00AE7BE2" w:rsidP="00AE7BE2"/>
    <w:p w14:paraId="17D4C0A3" w14:textId="5327C1C4" w:rsidR="00AE7BE2" w:rsidRPr="00172C7B" w:rsidRDefault="00AE7BE2" w:rsidP="00AE7BE2">
      <w:pPr>
        <w:numPr>
          <w:ilvl w:val="0"/>
          <w:numId w:val="14"/>
        </w:numPr>
        <w:tabs>
          <w:tab w:val="num" w:pos="567"/>
        </w:tabs>
      </w:pPr>
      <w:r w:rsidRPr="00172C7B">
        <w:t xml:space="preserve">Utvrđuje se prijedlog Programa </w:t>
      </w:r>
      <w:r w:rsidR="00335729">
        <w:t>održavanja</w:t>
      </w:r>
      <w:r w:rsidRPr="00172C7B">
        <w:t xml:space="preserve"> komunalne infrastrukture za 2025.</w:t>
      </w:r>
      <w:r w:rsidRPr="00172C7B">
        <w:rPr>
          <w:b/>
        </w:rPr>
        <w:t xml:space="preserve"> </w:t>
      </w:r>
      <w:r w:rsidRPr="00172C7B">
        <w:t xml:space="preserve">godinu te </w:t>
      </w:r>
      <w:r w:rsidR="00172C7B">
        <w:t xml:space="preserve">se </w:t>
      </w:r>
      <w:r w:rsidRPr="00172C7B">
        <w:t>dostavlja Gradskom vijeću Grada Poreča</w:t>
      </w:r>
      <w:r w:rsidR="00172C7B">
        <w:t>-</w:t>
      </w:r>
      <w:r w:rsidRPr="00172C7B">
        <w:t>Parenzo na razmatranje i donošenje u priloženom tekstu.</w:t>
      </w:r>
    </w:p>
    <w:p w14:paraId="57EEE3B0" w14:textId="77777777" w:rsidR="00AE7BE2" w:rsidRPr="00172C7B" w:rsidRDefault="00AE7BE2" w:rsidP="00AE7BE2">
      <w:pPr>
        <w:ind w:left="1080"/>
      </w:pPr>
    </w:p>
    <w:p w14:paraId="02A1B2CE" w14:textId="650F9455" w:rsidR="00AE7BE2" w:rsidRPr="00172C7B" w:rsidRDefault="00AE7BE2" w:rsidP="00AE7BE2">
      <w:pPr>
        <w:numPr>
          <w:ilvl w:val="0"/>
          <w:numId w:val="14"/>
        </w:numPr>
        <w:tabs>
          <w:tab w:val="num" w:pos="567"/>
        </w:tabs>
      </w:pPr>
      <w:r w:rsidRPr="00172C7B">
        <w:t>Na sjednici Gradskog vijeća, sva potrebna tumačenja uz prijedlog Programa iz točke 1. ovog Zaključka dat će Marino Poropat, pročelnik Upravnog odjela za komunalni sustav.</w:t>
      </w:r>
    </w:p>
    <w:p w14:paraId="2F316F2C" w14:textId="77777777" w:rsidR="00AE7BE2" w:rsidRPr="00172C7B" w:rsidRDefault="00AE7BE2" w:rsidP="00AE7BE2"/>
    <w:p w14:paraId="1682B3F8" w14:textId="09C1A625" w:rsidR="00AE7BE2" w:rsidRPr="00172C7B" w:rsidRDefault="00172C7B" w:rsidP="00AE7BE2">
      <w:pPr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       </w:t>
      </w:r>
      <w:r w:rsidR="00AE7BE2" w:rsidRPr="00172C7B">
        <w:rPr>
          <w:b/>
          <w:bCs/>
        </w:rPr>
        <w:t>GRADONAČELNIK</w:t>
      </w:r>
    </w:p>
    <w:p w14:paraId="2F3EE16D" w14:textId="2026C0DD" w:rsidR="00AE7BE2" w:rsidRPr="00172C7B" w:rsidRDefault="00AE7BE2" w:rsidP="00AE7BE2">
      <w:r w:rsidRPr="00172C7B">
        <w:rPr>
          <w:b/>
          <w:bCs/>
        </w:rPr>
        <w:tab/>
      </w:r>
      <w:r w:rsidRPr="00172C7B">
        <w:rPr>
          <w:b/>
          <w:bCs/>
        </w:rPr>
        <w:tab/>
      </w:r>
      <w:r w:rsidRPr="00172C7B">
        <w:rPr>
          <w:b/>
          <w:bCs/>
        </w:rPr>
        <w:tab/>
      </w:r>
      <w:r w:rsidRPr="00172C7B">
        <w:rPr>
          <w:b/>
          <w:bCs/>
        </w:rPr>
        <w:tab/>
      </w:r>
      <w:r w:rsidRPr="00172C7B">
        <w:rPr>
          <w:b/>
          <w:bCs/>
        </w:rPr>
        <w:tab/>
      </w:r>
      <w:r w:rsidRPr="00172C7B">
        <w:rPr>
          <w:b/>
          <w:bCs/>
        </w:rPr>
        <w:tab/>
      </w:r>
      <w:r w:rsidRPr="00172C7B">
        <w:rPr>
          <w:b/>
          <w:bCs/>
        </w:rPr>
        <w:tab/>
      </w:r>
      <w:r w:rsidRPr="00172C7B">
        <w:rPr>
          <w:b/>
          <w:bCs/>
        </w:rPr>
        <w:tab/>
      </w:r>
      <w:r w:rsidRPr="00172C7B">
        <w:rPr>
          <w:b/>
          <w:bCs/>
        </w:rPr>
        <w:tab/>
      </w:r>
      <w:r w:rsidR="00172C7B">
        <w:rPr>
          <w:b/>
          <w:bCs/>
        </w:rPr>
        <w:t xml:space="preserve">      </w:t>
      </w:r>
      <w:r w:rsidRPr="00172C7B">
        <w:rPr>
          <w:b/>
          <w:bCs/>
        </w:rPr>
        <w:t xml:space="preserve"> Loris Peršurić</w:t>
      </w:r>
      <w:r w:rsidRPr="00172C7B">
        <w:rPr>
          <w:b/>
          <w:bCs/>
        </w:rPr>
        <w:tab/>
      </w:r>
    </w:p>
    <w:p w14:paraId="1A5ACC25" w14:textId="77777777" w:rsidR="00AE7BE2" w:rsidRPr="00172C7B" w:rsidRDefault="00AE7BE2" w:rsidP="00AE7BE2"/>
    <w:p w14:paraId="28566E1A" w14:textId="77777777" w:rsidR="00AE7BE2" w:rsidRPr="00172C7B" w:rsidRDefault="00AE7BE2" w:rsidP="00AE7BE2"/>
    <w:p w14:paraId="16CA99F0" w14:textId="77777777" w:rsidR="00AE7BE2" w:rsidRPr="00172C7B" w:rsidRDefault="00AE7BE2" w:rsidP="00AE7BE2"/>
    <w:p w14:paraId="31BABE7D" w14:textId="77777777" w:rsidR="00172C7B" w:rsidRDefault="00172C7B" w:rsidP="00AE7BE2"/>
    <w:p w14:paraId="50790498" w14:textId="77777777" w:rsidR="00172C7B" w:rsidRDefault="00172C7B" w:rsidP="00AE7BE2"/>
    <w:p w14:paraId="75805264" w14:textId="642A93E8" w:rsidR="00AE7BE2" w:rsidRPr="00172C7B" w:rsidRDefault="00AE7BE2" w:rsidP="00AE7BE2">
      <w:r w:rsidRPr="00172C7B">
        <w:t xml:space="preserve">Privitak: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E7BE2" w:rsidRPr="00172C7B" w14:paraId="7D0F9C9C" w14:textId="77777777" w:rsidTr="00375926">
        <w:tc>
          <w:tcPr>
            <w:tcW w:w="5495" w:type="dxa"/>
          </w:tcPr>
          <w:p w14:paraId="56E5CE19" w14:textId="0A015BCA" w:rsidR="00AE7BE2" w:rsidRPr="00172C7B" w:rsidRDefault="00AE7BE2" w:rsidP="00172C7B">
            <w:pPr>
              <w:pStyle w:val="Odlomakpopisa"/>
              <w:numPr>
                <w:ilvl w:val="0"/>
                <w:numId w:val="20"/>
              </w:numPr>
              <w:tabs>
                <w:tab w:val="left" w:pos="0"/>
              </w:tabs>
              <w:rPr>
                <w:szCs w:val="24"/>
              </w:rPr>
            </w:pPr>
            <w:r w:rsidRPr="00172C7B">
              <w:rPr>
                <w:szCs w:val="24"/>
              </w:rPr>
              <w:t xml:space="preserve">Program </w:t>
            </w:r>
            <w:proofErr w:type="spellStart"/>
            <w:r w:rsidRPr="00172C7B">
              <w:rPr>
                <w:szCs w:val="24"/>
              </w:rPr>
              <w:t>održavanja</w:t>
            </w:r>
            <w:proofErr w:type="spellEnd"/>
            <w:r w:rsidRPr="00172C7B">
              <w:rPr>
                <w:szCs w:val="24"/>
              </w:rPr>
              <w:t xml:space="preserve"> </w:t>
            </w:r>
            <w:proofErr w:type="spellStart"/>
            <w:r w:rsidRPr="00172C7B">
              <w:rPr>
                <w:szCs w:val="24"/>
              </w:rPr>
              <w:t>komunalne</w:t>
            </w:r>
            <w:proofErr w:type="spellEnd"/>
            <w:r w:rsidRPr="00172C7B">
              <w:rPr>
                <w:szCs w:val="24"/>
              </w:rPr>
              <w:t xml:space="preserve"> </w:t>
            </w:r>
            <w:proofErr w:type="spellStart"/>
            <w:r w:rsidRPr="00172C7B">
              <w:rPr>
                <w:szCs w:val="24"/>
              </w:rPr>
              <w:t>infrastrukture</w:t>
            </w:r>
            <w:proofErr w:type="spellEnd"/>
            <w:r w:rsidRPr="00172C7B">
              <w:rPr>
                <w:szCs w:val="24"/>
              </w:rPr>
              <w:t xml:space="preserve"> za 2025.</w:t>
            </w:r>
            <w:r w:rsidRPr="00172C7B">
              <w:rPr>
                <w:b/>
                <w:szCs w:val="24"/>
              </w:rPr>
              <w:t xml:space="preserve"> </w:t>
            </w:r>
            <w:proofErr w:type="spellStart"/>
            <w:r w:rsidRPr="00172C7B">
              <w:rPr>
                <w:szCs w:val="24"/>
              </w:rPr>
              <w:t>godinu</w:t>
            </w:r>
            <w:proofErr w:type="spellEnd"/>
          </w:p>
          <w:p w14:paraId="49207404" w14:textId="77777777" w:rsidR="00AE7BE2" w:rsidRPr="00172C7B" w:rsidRDefault="00AE7BE2" w:rsidP="00375926"/>
        </w:tc>
      </w:tr>
    </w:tbl>
    <w:p w14:paraId="5AF800BC" w14:textId="77777777" w:rsidR="00AE7BE2" w:rsidRPr="00172C7B" w:rsidRDefault="00AE7BE2" w:rsidP="00AE7BE2"/>
    <w:p w14:paraId="77411412" w14:textId="77777777" w:rsidR="00AE7BE2" w:rsidRPr="00172C7B" w:rsidRDefault="00AE7BE2" w:rsidP="00AE7BE2"/>
    <w:p w14:paraId="16ABE656" w14:textId="77777777" w:rsidR="00AE7BE2" w:rsidRPr="00172C7B" w:rsidRDefault="00AE7BE2" w:rsidP="00AE7BE2"/>
    <w:p w14:paraId="5BB02504" w14:textId="77777777" w:rsidR="00AE7BE2" w:rsidRPr="00172C7B" w:rsidRDefault="00AE7BE2" w:rsidP="00AE7BE2"/>
    <w:p w14:paraId="0F88F800" w14:textId="77777777" w:rsidR="00AE7BE2" w:rsidRPr="00172C7B" w:rsidRDefault="00AE7BE2" w:rsidP="00AE7BE2"/>
    <w:p w14:paraId="149EE0E9" w14:textId="77777777" w:rsidR="00AE7BE2" w:rsidRPr="00172C7B" w:rsidRDefault="00AE7BE2" w:rsidP="00AE7BE2"/>
    <w:p w14:paraId="3AF6AC31" w14:textId="13FC2BD0" w:rsidR="00AE7BE2" w:rsidRPr="00172C7B" w:rsidRDefault="00172C7B" w:rsidP="00AE7BE2">
      <w:pPr>
        <w:tabs>
          <w:tab w:val="left" w:pos="0"/>
        </w:tabs>
      </w:pPr>
      <w:r w:rsidRPr="00172C7B">
        <w:rPr>
          <w:b/>
          <w:bCs/>
        </w:rPr>
        <w:t>DOSTAVITI</w:t>
      </w:r>
      <w:r w:rsidR="00AE7BE2" w:rsidRPr="00172C7B">
        <w:t>:</w:t>
      </w:r>
    </w:p>
    <w:p w14:paraId="2438B356" w14:textId="77777777" w:rsidR="00AE7BE2" w:rsidRPr="00172C7B" w:rsidRDefault="00AE7BE2" w:rsidP="00AE7BE2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</w:rPr>
      </w:pPr>
      <w:proofErr w:type="spellStart"/>
      <w:r w:rsidRPr="00172C7B">
        <w:rPr>
          <w:szCs w:val="24"/>
        </w:rPr>
        <w:t>Gradsko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vijeće</w:t>
      </w:r>
      <w:proofErr w:type="spellEnd"/>
      <w:r w:rsidRPr="00172C7B">
        <w:rPr>
          <w:szCs w:val="24"/>
        </w:rPr>
        <w:t xml:space="preserve">, </w:t>
      </w:r>
      <w:proofErr w:type="spellStart"/>
      <w:r w:rsidRPr="00172C7B">
        <w:rPr>
          <w:szCs w:val="24"/>
        </w:rPr>
        <w:t>ovdje</w:t>
      </w:r>
      <w:proofErr w:type="spellEnd"/>
      <w:r w:rsidRPr="00172C7B">
        <w:rPr>
          <w:szCs w:val="24"/>
        </w:rPr>
        <w:t>,</w:t>
      </w:r>
    </w:p>
    <w:p w14:paraId="2E44B46C" w14:textId="411CA5F9" w:rsidR="00AE7BE2" w:rsidRPr="00172C7B" w:rsidRDefault="00AE7BE2" w:rsidP="00AE7BE2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</w:rPr>
      </w:pPr>
      <w:proofErr w:type="spellStart"/>
      <w:r w:rsidRPr="00172C7B">
        <w:rPr>
          <w:szCs w:val="24"/>
        </w:rPr>
        <w:t>Upravn</w:t>
      </w:r>
      <w:r w:rsidR="00172C7B">
        <w:rPr>
          <w:szCs w:val="24"/>
        </w:rPr>
        <w:t>i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odjel</w:t>
      </w:r>
      <w:proofErr w:type="spellEnd"/>
      <w:r w:rsidRPr="00172C7B">
        <w:rPr>
          <w:szCs w:val="24"/>
        </w:rPr>
        <w:t xml:space="preserve"> za </w:t>
      </w:r>
      <w:proofErr w:type="spellStart"/>
      <w:r w:rsidRPr="00172C7B">
        <w:rPr>
          <w:szCs w:val="24"/>
        </w:rPr>
        <w:t>komunalni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sustav</w:t>
      </w:r>
      <w:proofErr w:type="spellEnd"/>
      <w:r w:rsidR="00172C7B">
        <w:rPr>
          <w:szCs w:val="24"/>
        </w:rPr>
        <w:t xml:space="preserve">, </w:t>
      </w:r>
      <w:proofErr w:type="spellStart"/>
      <w:r w:rsidRPr="00172C7B">
        <w:rPr>
          <w:szCs w:val="24"/>
        </w:rPr>
        <w:t>ovdje</w:t>
      </w:r>
      <w:proofErr w:type="spellEnd"/>
      <w:r w:rsidRPr="00172C7B">
        <w:rPr>
          <w:szCs w:val="24"/>
        </w:rPr>
        <w:t>,</w:t>
      </w:r>
    </w:p>
    <w:p w14:paraId="1CCA6655" w14:textId="77777777" w:rsidR="00AE7BE2" w:rsidRPr="00172C7B" w:rsidRDefault="00AE7BE2" w:rsidP="00AE7BE2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</w:rPr>
      </w:pPr>
      <w:proofErr w:type="spellStart"/>
      <w:r w:rsidRPr="00172C7B">
        <w:rPr>
          <w:szCs w:val="24"/>
        </w:rPr>
        <w:t>Pismohrana</w:t>
      </w:r>
      <w:proofErr w:type="spellEnd"/>
      <w:r w:rsidRPr="00172C7B">
        <w:rPr>
          <w:szCs w:val="24"/>
        </w:rPr>
        <w:t xml:space="preserve">, </w:t>
      </w:r>
      <w:proofErr w:type="spellStart"/>
      <w:r w:rsidRPr="00172C7B">
        <w:rPr>
          <w:szCs w:val="24"/>
        </w:rPr>
        <w:t>ovdje</w:t>
      </w:r>
      <w:proofErr w:type="spellEnd"/>
      <w:r w:rsidRPr="00172C7B">
        <w:rPr>
          <w:szCs w:val="24"/>
        </w:rPr>
        <w:t>.</w:t>
      </w:r>
    </w:p>
    <w:p w14:paraId="2AA7909C" w14:textId="4088CC35" w:rsidR="00DC6129" w:rsidRPr="00172C7B" w:rsidRDefault="00DC6129" w:rsidP="004349BD"/>
    <w:p w14:paraId="5B0EE179" w14:textId="64ECBF17" w:rsidR="00AE7BE2" w:rsidRPr="00172C7B" w:rsidRDefault="00AE7BE2" w:rsidP="004349B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268"/>
      </w:tblGrid>
      <w:tr w:rsidR="00AE7BE2" w:rsidRPr="00172C7B" w14:paraId="1037EC3E" w14:textId="77777777" w:rsidTr="00375926">
        <w:tc>
          <w:tcPr>
            <w:tcW w:w="4077" w:type="dxa"/>
            <w:gridSpan w:val="2"/>
          </w:tcPr>
          <w:p w14:paraId="636EFFDC" w14:textId="77777777" w:rsidR="00AE7BE2" w:rsidRPr="00172C7B" w:rsidRDefault="00AE7BE2" w:rsidP="00375926">
            <w:pPr>
              <w:tabs>
                <w:tab w:val="center" w:pos="1843"/>
              </w:tabs>
              <w:jc w:val="center"/>
            </w:pPr>
            <w:r w:rsidRPr="00172C7B">
              <w:rPr>
                <w:noProof/>
              </w:rPr>
              <w:lastRenderedPageBreak/>
              <w:drawing>
                <wp:inline distT="0" distB="0" distL="0" distR="0" wp14:anchorId="376460D0" wp14:editId="20E2EEFF">
                  <wp:extent cx="381000" cy="495300"/>
                  <wp:effectExtent l="19050" t="0" r="0" b="0"/>
                  <wp:docPr id="2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A889E" w14:textId="77777777" w:rsidR="00AE7BE2" w:rsidRPr="00172C7B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72C7B">
              <w:rPr>
                <w:b/>
              </w:rPr>
              <w:t>REPUBLIKA HRVATSKA</w:t>
            </w:r>
          </w:p>
        </w:tc>
      </w:tr>
      <w:tr w:rsidR="00AE7BE2" w:rsidRPr="00172C7B" w14:paraId="51E1E124" w14:textId="77777777" w:rsidTr="00375926">
        <w:tc>
          <w:tcPr>
            <w:tcW w:w="4077" w:type="dxa"/>
            <w:gridSpan w:val="2"/>
          </w:tcPr>
          <w:p w14:paraId="4C6ECE01" w14:textId="77777777" w:rsidR="00AE7BE2" w:rsidRPr="00172C7B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72C7B">
              <w:rPr>
                <w:b/>
              </w:rPr>
              <w:t>ISTARSKA ŽUPANIJA</w:t>
            </w:r>
          </w:p>
        </w:tc>
      </w:tr>
      <w:tr w:rsidR="00AE7BE2" w:rsidRPr="00172C7B" w14:paraId="3D50C838" w14:textId="77777777" w:rsidTr="00375926">
        <w:tc>
          <w:tcPr>
            <w:tcW w:w="4077" w:type="dxa"/>
            <w:gridSpan w:val="2"/>
          </w:tcPr>
          <w:p w14:paraId="618707AE" w14:textId="77777777" w:rsidR="00AE7BE2" w:rsidRPr="00172C7B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72C7B">
              <w:rPr>
                <w:b/>
              </w:rPr>
              <w:t>GRAD POREČ – PARENZO</w:t>
            </w:r>
          </w:p>
          <w:p w14:paraId="143E83BE" w14:textId="4EA286DE" w:rsidR="00AE7BE2" w:rsidRPr="00172C7B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72C7B">
              <w:rPr>
                <w:b/>
              </w:rPr>
              <w:t>CITT</w:t>
            </w:r>
            <w:r w:rsidR="00172C7B">
              <w:rPr>
                <w:b/>
              </w:rPr>
              <w:t>À</w:t>
            </w:r>
            <w:r w:rsidRPr="00172C7B">
              <w:rPr>
                <w:b/>
              </w:rPr>
              <w:t xml:space="preserve"> DI POREČ - PARENZO</w:t>
            </w:r>
          </w:p>
        </w:tc>
      </w:tr>
      <w:tr w:rsidR="00AE7BE2" w:rsidRPr="00172C7B" w14:paraId="1A679B7D" w14:textId="77777777" w:rsidTr="00375926">
        <w:tc>
          <w:tcPr>
            <w:tcW w:w="4077" w:type="dxa"/>
            <w:gridSpan w:val="2"/>
          </w:tcPr>
          <w:p w14:paraId="5F1DEF06" w14:textId="77777777" w:rsidR="00AE7BE2" w:rsidRPr="00172C7B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72C7B">
              <w:rPr>
                <w:b/>
              </w:rPr>
              <w:t>Gradsko vijeće</w:t>
            </w:r>
          </w:p>
        </w:tc>
      </w:tr>
      <w:tr w:rsidR="00AE7BE2" w:rsidRPr="00172C7B" w14:paraId="06C324F0" w14:textId="77777777" w:rsidTr="00375926">
        <w:trPr>
          <w:trHeight w:val="252"/>
        </w:trPr>
        <w:tc>
          <w:tcPr>
            <w:tcW w:w="1809" w:type="dxa"/>
          </w:tcPr>
          <w:p w14:paraId="13C4C9E1" w14:textId="77777777" w:rsidR="00AE7BE2" w:rsidRPr="00172C7B" w:rsidRDefault="00AE7BE2" w:rsidP="00375926"/>
          <w:p w14:paraId="7F816A71" w14:textId="77777777" w:rsidR="00AE7BE2" w:rsidRPr="00172C7B" w:rsidRDefault="00AE7BE2" w:rsidP="00375926">
            <w:r w:rsidRPr="00172C7B">
              <w:t xml:space="preserve">KLASA:    </w:t>
            </w:r>
          </w:p>
        </w:tc>
        <w:tc>
          <w:tcPr>
            <w:tcW w:w="2268" w:type="dxa"/>
          </w:tcPr>
          <w:p w14:paraId="22DD699D" w14:textId="77777777" w:rsidR="00AE7BE2" w:rsidRPr="00172C7B" w:rsidRDefault="00AE7BE2" w:rsidP="00375926"/>
          <w:p w14:paraId="2329698E" w14:textId="77777777" w:rsidR="00AE7BE2" w:rsidRPr="00172C7B" w:rsidRDefault="00AE7BE2" w:rsidP="00375926"/>
        </w:tc>
      </w:tr>
      <w:tr w:rsidR="00AE7BE2" w:rsidRPr="00172C7B" w14:paraId="6C99B917" w14:textId="77777777" w:rsidTr="00375926">
        <w:trPr>
          <w:trHeight w:val="278"/>
        </w:trPr>
        <w:tc>
          <w:tcPr>
            <w:tcW w:w="1809" w:type="dxa"/>
          </w:tcPr>
          <w:p w14:paraId="076CAF15" w14:textId="77777777" w:rsidR="00AE7BE2" w:rsidRPr="00172C7B" w:rsidRDefault="00AE7BE2" w:rsidP="00375926">
            <w:r w:rsidRPr="00172C7B">
              <w:t xml:space="preserve">URBROJ: </w:t>
            </w:r>
          </w:p>
        </w:tc>
        <w:tc>
          <w:tcPr>
            <w:tcW w:w="2268" w:type="dxa"/>
          </w:tcPr>
          <w:p w14:paraId="6F856C54" w14:textId="77777777" w:rsidR="00AE7BE2" w:rsidRPr="00172C7B" w:rsidRDefault="00AE7BE2" w:rsidP="00375926"/>
        </w:tc>
      </w:tr>
      <w:tr w:rsidR="00AE7BE2" w:rsidRPr="00172C7B" w14:paraId="75CC3D9B" w14:textId="77777777" w:rsidTr="00375926">
        <w:trPr>
          <w:trHeight w:val="278"/>
        </w:trPr>
        <w:tc>
          <w:tcPr>
            <w:tcW w:w="1809" w:type="dxa"/>
          </w:tcPr>
          <w:p w14:paraId="605E9AD1" w14:textId="77777777" w:rsidR="00AE7BE2" w:rsidRPr="00172C7B" w:rsidRDefault="00AE7BE2" w:rsidP="00375926">
            <w:r w:rsidRPr="00172C7B">
              <w:t>Poreč - Parenzo,</w:t>
            </w:r>
          </w:p>
        </w:tc>
        <w:tc>
          <w:tcPr>
            <w:tcW w:w="2268" w:type="dxa"/>
          </w:tcPr>
          <w:p w14:paraId="286640AF" w14:textId="77777777" w:rsidR="00AE7BE2" w:rsidRPr="00172C7B" w:rsidRDefault="00AE7BE2" w:rsidP="00375926"/>
        </w:tc>
      </w:tr>
    </w:tbl>
    <w:p w14:paraId="696BB0EA" w14:textId="77777777" w:rsidR="00AE7BE2" w:rsidRPr="00172C7B" w:rsidRDefault="00AE7BE2" w:rsidP="004349BD"/>
    <w:p w14:paraId="44E3E4B3" w14:textId="19DF1548" w:rsidR="0068364C" w:rsidRPr="00172C7B" w:rsidRDefault="0068364C" w:rsidP="004349BD">
      <w:r w:rsidRPr="00172C7B">
        <w:t xml:space="preserve">Temeljem odredbi članka 72. stavak 1. Zakona o komunalnom gospodarstvu ("Narodne Novine" </w:t>
      </w:r>
      <w:r w:rsidRPr="00172C7B">
        <w:rPr>
          <w:bCs/>
        </w:rPr>
        <w:t>br. 68/18, 110/18 i 32/20</w:t>
      </w:r>
      <w:r w:rsidRPr="00172C7B">
        <w:t>) i članka 41. Statuta Grada Poreča ("Službeni glasnik Grada Poreča - Parenzo" br. 02/13</w:t>
      </w:r>
      <w:r w:rsidR="00432A93" w:rsidRPr="00172C7B">
        <w:t xml:space="preserve">, </w:t>
      </w:r>
      <w:r w:rsidRPr="00172C7B">
        <w:t>10/18</w:t>
      </w:r>
      <w:r w:rsidR="00AE7BE2" w:rsidRPr="00172C7B">
        <w:t xml:space="preserve">, </w:t>
      </w:r>
      <w:r w:rsidR="00432A93" w:rsidRPr="00172C7B">
        <w:t>02/21</w:t>
      </w:r>
      <w:r w:rsidR="00AE7BE2" w:rsidRPr="00172C7B">
        <w:t xml:space="preserve"> i 12/24</w:t>
      </w:r>
      <w:r w:rsidRPr="00172C7B">
        <w:t>), Gradsko vijeće Grada Poreča - Parenzo na sjednici održanoj .............., donijelo je</w:t>
      </w:r>
    </w:p>
    <w:p w14:paraId="75C99159" w14:textId="77777777" w:rsidR="0068364C" w:rsidRPr="00172C7B" w:rsidRDefault="0068364C" w:rsidP="004349BD">
      <w:pPr>
        <w:rPr>
          <w:b/>
        </w:rPr>
      </w:pPr>
    </w:p>
    <w:p w14:paraId="50D9F9DE" w14:textId="77777777" w:rsidR="0068364C" w:rsidRPr="00172C7B" w:rsidRDefault="0068364C" w:rsidP="004349BD">
      <w:pPr>
        <w:jc w:val="center"/>
        <w:outlineLvl w:val="0"/>
        <w:rPr>
          <w:b/>
        </w:rPr>
      </w:pPr>
      <w:r w:rsidRPr="00172C7B">
        <w:rPr>
          <w:b/>
        </w:rPr>
        <w:t xml:space="preserve">PROGRAM ODRŽAVANJA KOMUNALNE INFRASTRUKTURE </w:t>
      </w:r>
    </w:p>
    <w:p w14:paraId="5553A146" w14:textId="60849BB4" w:rsidR="0068364C" w:rsidRPr="00172C7B" w:rsidRDefault="0068364C" w:rsidP="004349BD">
      <w:pPr>
        <w:jc w:val="center"/>
        <w:outlineLvl w:val="0"/>
        <w:rPr>
          <w:b/>
        </w:rPr>
      </w:pPr>
      <w:r w:rsidRPr="00172C7B">
        <w:rPr>
          <w:b/>
        </w:rPr>
        <w:t>ZA 202</w:t>
      </w:r>
      <w:r w:rsidR="00723D1E" w:rsidRPr="00172C7B">
        <w:rPr>
          <w:b/>
        </w:rPr>
        <w:t>5</w:t>
      </w:r>
      <w:r w:rsidRPr="00172C7B">
        <w:rPr>
          <w:b/>
        </w:rPr>
        <w:t>. GODINU</w:t>
      </w:r>
    </w:p>
    <w:p w14:paraId="045EDC4A" w14:textId="77777777" w:rsidR="0068364C" w:rsidRPr="00172C7B" w:rsidRDefault="0068364C" w:rsidP="004349BD">
      <w:pPr>
        <w:jc w:val="center"/>
        <w:outlineLvl w:val="0"/>
        <w:rPr>
          <w:b/>
        </w:rPr>
      </w:pPr>
    </w:p>
    <w:p w14:paraId="4635BEE6" w14:textId="77777777" w:rsidR="0068364C" w:rsidRPr="00172C7B" w:rsidRDefault="0068364C" w:rsidP="004349BD">
      <w:pPr>
        <w:jc w:val="center"/>
        <w:outlineLvl w:val="0"/>
        <w:rPr>
          <w:b/>
        </w:rPr>
      </w:pPr>
      <w:r w:rsidRPr="00172C7B">
        <w:rPr>
          <w:b/>
        </w:rPr>
        <w:t>Članak  1.</w:t>
      </w:r>
    </w:p>
    <w:p w14:paraId="16E96A5A" w14:textId="77777777" w:rsidR="0068364C" w:rsidRPr="00172C7B" w:rsidRDefault="0068364C" w:rsidP="004349BD">
      <w:r w:rsidRPr="00172C7B">
        <w:t xml:space="preserve">Ovim Programom u skladu s predvidivim i raspoloživim sredstvima utvrđuje se: </w:t>
      </w:r>
    </w:p>
    <w:p w14:paraId="13A1CEA6" w14:textId="77777777" w:rsidR="0068364C" w:rsidRPr="00172C7B" w:rsidRDefault="0068364C" w:rsidP="004349BD">
      <w:pPr>
        <w:pStyle w:val="Odlomakpopisa"/>
        <w:numPr>
          <w:ilvl w:val="0"/>
          <w:numId w:val="8"/>
        </w:numPr>
        <w:rPr>
          <w:szCs w:val="24"/>
        </w:rPr>
      </w:pPr>
      <w:proofErr w:type="spellStart"/>
      <w:r w:rsidRPr="00172C7B">
        <w:rPr>
          <w:szCs w:val="24"/>
        </w:rPr>
        <w:t>opis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i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opseg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poslova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održavanja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komunalne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infrastrukture</w:t>
      </w:r>
      <w:proofErr w:type="spellEnd"/>
      <w:r w:rsidRPr="00172C7B">
        <w:rPr>
          <w:szCs w:val="24"/>
        </w:rPr>
        <w:t xml:space="preserve"> s </w:t>
      </w:r>
      <w:proofErr w:type="spellStart"/>
      <w:r w:rsidRPr="00172C7B">
        <w:rPr>
          <w:szCs w:val="24"/>
        </w:rPr>
        <w:t>procjenom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pojedinih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troškova</w:t>
      </w:r>
      <w:proofErr w:type="spellEnd"/>
      <w:r w:rsidRPr="00172C7B">
        <w:rPr>
          <w:szCs w:val="24"/>
        </w:rPr>
        <w:t xml:space="preserve"> po </w:t>
      </w:r>
      <w:proofErr w:type="spellStart"/>
      <w:r w:rsidRPr="00172C7B">
        <w:rPr>
          <w:szCs w:val="24"/>
        </w:rPr>
        <w:t>djelatnostima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i</w:t>
      </w:r>
      <w:proofErr w:type="spellEnd"/>
      <w:r w:rsidRPr="00172C7B">
        <w:rPr>
          <w:szCs w:val="24"/>
        </w:rPr>
        <w:t xml:space="preserve"> </w:t>
      </w:r>
    </w:p>
    <w:p w14:paraId="41816283" w14:textId="77777777" w:rsidR="0068364C" w:rsidRPr="00172C7B" w:rsidRDefault="0068364C" w:rsidP="004349BD">
      <w:pPr>
        <w:pStyle w:val="Odlomakpopisa"/>
        <w:numPr>
          <w:ilvl w:val="0"/>
          <w:numId w:val="8"/>
        </w:numPr>
        <w:rPr>
          <w:szCs w:val="24"/>
        </w:rPr>
      </w:pPr>
      <w:proofErr w:type="spellStart"/>
      <w:r w:rsidRPr="00172C7B">
        <w:rPr>
          <w:szCs w:val="24"/>
        </w:rPr>
        <w:t>iskaz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financijskih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sredstava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potrebnih</w:t>
      </w:r>
      <w:proofErr w:type="spellEnd"/>
      <w:r w:rsidRPr="00172C7B">
        <w:rPr>
          <w:szCs w:val="24"/>
        </w:rPr>
        <w:t xml:space="preserve"> za </w:t>
      </w:r>
      <w:proofErr w:type="spellStart"/>
      <w:r w:rsidRPr="00172C7B">
        <w:rPr>
          <w:szCs w:val="24"/>
        </w:rPr>
        <w:t>ostvarivanje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programa</w:t>
      </w:r>
      <w:proofErr w:type="spellEnd"/>
      <w:r w:rsidRPr="00172C7B">
        <w:rPr>
          <w:szCs w:val="24"/>
        </w:rPr>
        <w:t xml:space="preserve"> s </w:t>
      </w:r>
      <w:proofErr w:type="spellStart"/>
      <w:r w:rsidRPr="00172C7B">
        <w:rPr>
          <w:szCs w:val="24"/>
        </w:rPr>
        <w:t>naznakom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izvora</w:t>
      </w:r>
      <w:proofErr w:type="spellEnd"/>
      <w:r w:rsidRPr="00172C7B">
        <w:rPr>
          <w:szCs w:val="24"/>
        </w:rPr>
        <w:t xml:space="preserve"> </w:t>
      </w:r>
      <w:proofErr w:type="spellStart"/>
      <w:r w:rsidRPr="00172C7B">
        <w:rPr>
          <w:szCs w:val="24"/>
        </w:rPr>
        <w:t>financiranja</w:t>
      </w:r>
      <w:proofErr w:type="spellEnd"/>
      <w:r w:rsidRPr="00172C7B">
        <w:rPr>
          <w:szCs w:val="24"/>
        </w:rPr>
        <w:t xml:space="preserve">. </w:t>
      </w:r>
    </w:p>
    <w:p w14:paraId="1BAD1BE0" w14:textId="77777777" w:rsidR="0068364C" w:rsidRPr="00172C7B" w:rsidRDefault="0068364C" w:rsidP="004349BD">
      <w:pPr>
        <w:jc w:val="center"/>
      </w:pPr>
    </w:p>
    <w:p w14:paraId="5B132382" w14:textId="77777777" w:rsidR="0068364C" w:rsidRPr="00172C7B" w:rsidRDefault="0068364C" w:rsidP="004349BD">
      <w:pPr>
        <w:jc w:val="center"/>
        <w:rPr>
          <w:b/>
        </w:rPr>
      </w:pPr>
      <w:r w:rsidRPr="00172C7B">
        <w:rPr>
          <w:b/>
        </w:rPr>
        <w:t>Članak 2.</w:t>
      </w:r>
    </w:p>
    <w:p w14:paraId="084628D7" w14:textId="77777777" w:rsidR="0068364C" w:rsidRPr="00172C7B" w:rsidRDefault="0068364C" w:rsidP="004349BD">
      <w:r w:rsidRPr="00172C7B">
        <w:t xml:space="preserve">Program obuhvaća: </w:t>
      </w:r>
    </w:p>
    <w:p w14:paraId="06998831" w14:textId="77777777" w:rsidR="0068364C" w:rsidRPr="00172C7B" w:rsidRDefault="0068364C" w:rsidP="004349BD">
      <w:r w:rsidRPr="00172C7B">
        <w:t xml:space="preserve">1. održavanje nerazvrstanih cesta </w:t>
      </w:r>
    </w:p>
    <w:p w14:paraId="4B0A693C" w14:textId="77777777" w:rsidR="0068364C" w:rsidRPr="00172C7B" w:rsidRDefault="0068364C" w:rsidP="004349BD">
      <w:r w:rsidRPr="00172C7B">
        <w:t xml:space="preserve">2. održavanje javnih površina na kojima nije dopušten promet motornih vozila </w:t>
      </w:r>
    </w:p>
    <w:p w14:paraId="69740DCB" w14:textId="77777777" w:rsidR="0068364C" w:rsidRPr="00172C7B" w:rsidRDefault="0068364C" w:rsidP="004349BD">
      <w:r w:rsidRPr="00172C7B">
        <w:t xml:space="preserve">3. održavanje građevina javne odvodnje oborinskih voda </w:t>
      </w:r>
    </w:p>
    <w:p w14:paraId="24420D46" w14:textId="77777777" w:rsidR="0068364C" w:rsidRPr="00172C7B" w:rsidRDefault="0068364C" w:rsidP="004349BD">
      <w:r w:rsidRPr="00172C7B">
        <w:t xml:space="preserve">4. održavanje javnih zelenih površina </w:t>
      </w:r>
    </w:p>
    <w:p w14:paraId="1503F8D2" w14:textId="77777777" w:rsidR="0068364C" w:rsidRPr="00172C7B" w:rsidRDefault="0068364C" w:rsidP="004349BD">
      <w:r w:rsidRPr="00172C7B">
        <w:t xml:space="preserve">5. održavanje građevina, uređaja i predmeta javne namjene </w:t>
      </w:r>
    </w:p>
    <w:p w14:paraId="546D4137" w14:textId="77777777" w:rsidR="0068364C" w:rsidRPr="00172C7B" w:rsidRDefault="0068364C" w:rsidP="004349BD">
      <w:r w:rsidRPr="00172C7B">
        <w:t xml:space="preserve">6. održavanje čistoće javnih površina </w:t>
      </w:r>
    </w:p>
    <w:p w14:paraId="7E6BCC45" w14:textId="77777777" w:rsidR="0068364C" w:rsidRPr="00172C7B" w:rsidRDefault="0068364C" w:rsidP="004349BD">
      <w:r w:rsidRPr="00172C7B">
        <w:t>7</w:t>
      </w:r>
      <w:r w:rsidR="00AC3717" w:rsidRPr="00172C7B">
        <w:t>. održavanje javne rasvjete</w:t>
      </w:r>
    </w:p>
    <w:p w14:paraId="0888657C" w14:textId="77777777" w:rsidR="00AC3717" w:rsidRPr="00172C7B" w:rsidRDefault="00AC3717" w:rsidP="004349BD">
      <w:r w:rsidRPr="00172C7B">
        <w:t>8. prigodno ukrašavanje grada</w:t>
      </w:r>
    </w:p>
    <w:p w14:paraId="73AA079B" w14:textId="77777777" w:rsidR="00AC3717" w:rsidRPr="00172C7B" w:rsidRDefault="00AC3717" w:rsidP="004349BD">
      <w:r w:rsidRPr="00172C7B">
        <w:t>9. održavanje elektroenergetskih postrojenja u vlasništvu Grada</w:t>
      </w:r>
    </w:p>
    <w:p w14:paraId="5CF2C309" w14:textId="77777777" w:rsidR="0068364C" w:rsidRPr="00172C7B" w:rsidRDefault="0068364C" w:rsidP="004349BD">
      <w:pPr>
        <w:jc w:val="center"/>
      </w:pPr>
    </w:p>
    <w:p w14:paraId="683128AD" w14:textId="77777777" w:rsidR="0068364C" w:rsidRPr="00172C7B" w:rsidRDefault="0068364C" w:rsidP="004349BD">
      <w:pPr>
        <w:jc w:val="center"/>
        <w:rPr>
          <w:b/>
        </w:rPr>
      </w:pPr>
      <w:r w:rsidRPr="00172C7B">
        <w:rPr>
          <w:b/>
        </w:rPr>
        <w:t>Članak 3.</w:t>
      </w:r>
    </w:p>
    <w:p w14:paraId="40F27114" w14:textId="77777777" w:rsidR="0068364C" w:rsidRPr="00172C7B" w:rsidRDefault="0068364C" w:rsidP="004349BD">
      <w:r w:rsidRPr="00172C7B">
        <w:t xml:space="preserve">Procjena troškova održavanja komunalne infrastrukture iznosi: </w:t>
      </w:r>
    </w:p>
    <w:p w14:paraId="2FE8EC40" w14:textId="77777777" w:rsidR="0068364C" w:rsidRPr="00172C7B" w:rsidRDefault="0068364C" w:rsidP="004349BD"/>
    <w:p w14:paraId="15BC20E1" w14:textId="77777777" w:rsidR="0068364C" w:rsidRPr="00172C7B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r w:rsidRPr="00172C7B">
        <w:rPr>
          <w:szCs w:val="24"/>
        </w:rPr>
        <w:t>ODRŽAVANJE NERAZVRSTANIH CESTA</w:t>
      </w:r>
    </w:p>
    <w:p w14:paraId="6D46121B" w14:textId="77777777" w:rsidR="0068364C" w:rsidRPr="00172C7B" w:rsidRDefault="0068364C" w:rsidP="004349BD">
      <w:r w:rsidRPr="00172C7B">
        <w:t>Održavanje nerazvrstanih cesta podrazumijeva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343182C1" w14:textId="1C8D95D6" w:rsidR="0068364C" w:rsidRPr="00172C7B" w:rsidRDefault="0068364C" w:rsidP="004349BD">
      <w:r w:rsidRPr="00172C7B">
        <w:t xml:space="preserve">Održavanje obuhvaća nerazvrstanih cesta u dužini od </w:t>
      </w:r>
      <w:r w:rsidR="003A04C2" w:rsidRPr="00172C7B">
        <w:t xml:space="preserve">244.510,0 </w:t>
      </w:r>
      <w:r w:rsidRPr="00172C7B">
        <w:t>m'.</w:t>
      </w:r>
    </w:p>
    <w:p w14:paraId="040C3739" w14:textId="270823EC" w:rsidR="00AC3717" w:rsidRPr="00172C7B" w:rsidRDefault="00AC3717" w:rsidP="004349BD"/>
    <w:tbl>
      <w:tblPr>
        <w:tblStyle w:val="Reetkatablice"/>
        <w:tblW w:w="9072" w:type="dxa"/>
        <w:tblLook w:val="04A0" w:firstRow="1" w:lastRow="0" w:firstColumn="1" w:lastColumn="0" w:noHBand="0" w:noVBand="1"/>
      </w:tblPr>
      <w:tblGrid>
        <w:gridCol w:w="720"/>
        <w:gridCol w:w="1217"/>
        <w:gridCol w:w="5743"/>
        <w:gridCol w:w="1559"/>
      </w:tblGrid>
      <w:tr w:rsidR="007055CA" w:rsidRPr="00172C7B" w14:paraId="418B2C65" w14:textId="77777777" w:rsidTr="007055CA">
        <w:trPr>
          <w:trHeight w:val="255"/>
        </w:trPr>
        <w:tc>
          <w:tcPr>
            <w:tcW w:w="720" w:type="dxa"/>
            <w:noWrap/>
            <w:vAlign w:val="center"/>
          </w:tcPr>
          <w:p w14:paraId="16F06D90" w14:textId="248C758E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  <w:color w:val="000000"/>
              </w:rPr>
              <w:lastRenderedPageBreak/>
              <w:t>Red. br.</w:t>
            </w:r>
          </w:p>
        </w:tc>
        <w:tc>
          <w:tcPr>
            <w:tcW w:w="1050" w:type="dxa"/>
            <w:noWrap/>
            <w:vAlign w:val="center"/>
          </w:tcPr>
          <w:p w14:paraId="20A7FD30" w14:textId="73DAD1CA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Oznaka</w:t>
            </w:r>
          </w:p>
        </w:tc>
        <w:tc>
          <w:tcPr>
            <w:tcW w:w="5743" w:type="dxa"/>
            <w:noWrap/>
            <w:vAlign w:val="center"/>
          </w:tcPr>
          <w:p w14:paraId="67A8E60A" w14:textId="3E696F75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559" w:type="dxa"/>
            <w:noWrap/>
            <w:vAlign w:val="center"/>
          </w:tcPr>
          <w:p w14:paraId="558DF209" w14:textId="6DE5A442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7055CA" w:rsidRPr="00172C7B" w14:paraId="00C3FDB1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9F33762" w14:textId="77777777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</w:t>
            </w:r>
          </w:p>
        </w:tc>
        <w:tc>
          <w:tcPr>
            <w:tcW w:w="1050" w:type="dxa"/>
            <w:noWrap/>
            <w:hideMark/>
          </w:tcPr>
          <w:p w14:paraId="02A0B4D9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43" w:type="dxa"/>
            <w:noWrap/>
            <w:hideMark/>
          </w:tcPr>
          <w:p w14:paraId="6A46A140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Redovno održavanje cesta, nogostupa i puteva</w:t>
            </w:r>
          </w:p>
        </w:tc>
        <w:tc>
          <w:tcPr>
            <w:tcW w:w="1559" w:type="dxa"/>
            <w:noWrap/>
            <w:hideMark/>
          </w:tcPr>
          <w:p w14:paraId="32A50BD7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70.500,00</w:t>
            </w:r>
          </w:p>
        </w:tc>
      </w:tr>
      <w:tr w:rsidR="007055CA" w:rsidRPr="00172C7B" w14:paraId="2D7FE541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9E826D2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</w:p>
        </w:tc>
        <w:tc>
          <w:tcPr>
            <w:tcW w:w="1050" w:type="dxa"/>
            <w:noWrap/>
            <w:hideMark/>
          </w:tcPr>
          <w:p w14:paraId="5A2636FB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071827C2" w14:textId="77777777" w:rsidR="007055CA" w:rsidRPr="00172C7B" w:rsidRDefault="007055CA" w:rsidP="007055CA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noWrap/>
            <w:hideMark/>
          </w:tcPr>
          <w:p w14:paraId="44B9F885" w14:textId="77777777" w:rsidR="007055CA" w:rsidRPr="00172C7B" w:rsidRDefault="007055CA" w:rsidP="007055CA">
            <w:pPr>
              <w:jc w:val="right"/>
            </w:pPr>
            <w:r w:rsidRPr="00172C7B">
              <w:t>70.500,00</w:t>
            </w:r>
          </w:p>
        </w:tc>
      </w:tr>
      <w:tr w:rsidR="007055CA" w:rsidRPr="00172C7B" w14:paraId="23B59FAD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1E8AA769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484534D8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22092A2C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54A39C72" w14:textId="77777777" w:rsidR="007055CA" w:rsidRPr="00172C7B" w:rsidRDefault="007055CA" w:rsidP="007055CA">
            <w:pPr>
              <w:jc w:val="right"/>
            </w:pPr>
            <w:r w:rsidRPr="00172C7B">
              <w:t>20.000,00</w:t>
            </w:r>
          </w:p>
        </w:tc>
      </w:tr>
      <w:tr w:rsidR="007055CA" w:rsidRPr="00172C7B" w14:paraId="0142B789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09BB76A9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77C3D774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2F2D87D6" w14:textId="77777777" w:rsidR="007055CA" w:rsidRPr="00172C7B" w:rsidRDefault="007055CA" w:rsidP="007055CA">
            <w:pPr>
              <w:jc w:val="left"/>
            </w:pPr>
            <w:r w:rsidRPr="00172C7B">
              <w:t>Prihodi od naknade za eksploataciju mineralnih sirovina</w:t>
            </w:r>
          </w:p>
        </w:tc>
        <w:tc>
          <w:tcPr>
            <w:tcW w:w="1559" w:type="dxa"/>
            <w:noWrap/>
            <w:hideMark/>
          </w:tcPr>
          <w:p w14:paraId="00C0D89D" w14:textId="77777777" w:rsidR="007055CA" w:rsidRPr="00172C7B" w:rsidRDefault="007055CA" w:rsidP="007055CA">
            <w:pPr>
              <w:jc w:val="right"/>
            </w:pPr>
            <w:r w:rsidRPr="00172C7B">
              <w:t>50.500,00</w:t>
            </w:r>
          </w:p>
        </w:tc>
      </w:tr>
      <w:tr w:rsidR="007055CA" w:rsidRPr="00172C7B" w14:paraId="2F3BA88B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787B498" w14:textId="77777777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2</w:t>
            </w:r>
          </w:p>
        </w:tc>
        <w:tc>
          <w:tcPr>
            <w:tcW w:w="1050" w:type="dxa"/>
            <w:noWrap/>
            <w:hideMark/>
          </w:tcPr>
          <w:p w14:paraId="2C282EE8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43" w:type="dxa"/>
            <w:noWrap/>
            <w:hideMark/>
          </w:tcPr>
          <w:p w14:paraId="1C9C3301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Pojačano održavanje cesta, nogostupa i puteva</w:t>
            </w:r>
          </w:p>
        </w:tc>
        <w:tc>
          <w:tcPr>
            <w:tcW w:w="1559" w:type="dxa"/>
            <w:noWrap/>
            <w:hideMark/>
          </w:tcPr>
          <w:p w14:paraId="2F5D7419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77.370,00</w:t>
            </w:r>
          </w:p>
        </w:tc>
      </w:tr>
      <w:tr w:rsidR="007055CA" w:rsidRPr="00172C7B" w14:paraId="5E2814F0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1EBD9E96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</w:p>
        </w:tc>
        <w:tc>
          <w:tcPr>
            <w:tcW w:w="1050" w:type="dxa"/>
            <w:noWrap/>
            <w:hideMark/>
          </w:tcPr>
          <w:p w14:paraId="6B799BE8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335F150F" w14:textId="77777777" w:rsidR="007055CA" w:rsidRPr="00172C7B" w:rsidRDefault="007055CA" w:rsidP="007055CA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noWrap/>
            <w:hideMark/>
          </w:tcPr>
          <w:p w14:paraId="61B7AB00" w14:textId="77777777" w:rsidR="007055CA" w:rsidRPr="00172C7B" w:rsidRDefault="007055CA" w:rsidP="007055CA">
            <w:pPr>
              <w:jc w:val="right"/>
            </w:pPr>
            <w:r w:rsidRPr="00172C7B">
              <w:t>17.370,00</w:t>
            </w:r>
          </w:p>
        </w:tc>
      </w:tr>
      <w:tr w:rsidR="007055CA" w:rsidRPr="00172C7B" w14:paraId="2A0939F7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42B81148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2A7BC5AF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695B8BD6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78107298" w14:textId="77777777" w:rsidR="007055CA" w:rsidRPr="00172C7B" w:rsidRDefault="007055CA" w:rsidP="007055CA">
            <w:pPr>
              <w:jc w:val="right"/>
            </w:pPr>
            <w:r w:rsidRPr="00172C7B">
              <w:t>8.870,00</w:t>
            </w:r>
          </w:p>
        </w:tc>
      </w:tr>
      <w:tr w:rsidR="007055CA" w:rsidRPr="00172C7B" w14:paraId="4FBCA8B1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3F017F3D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377B1E14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093DB3B8" w14:textId="77777777" w:rsidR="007055CA" w:rsidRPr="00172C7B" w:rsidRDefault="007055CA" w:rsidP="007055CA">
            <w:pPr>
              <w:jc w:val="left"/>
            </w:pPr>
            <w:r w:rsidRPr="00172C7B">
              <w:t>Prihodi od ostalih koncesija</w:t>
            </w:r>
          </w:p>
        </w:tc>
        <w:tc>
          <w:tcPr>
            <w:tcW w:w="1559" w:type="dxa"/>
            <w:noWrap/>
            <w:hideMark/>
          </w:tcPr>
          <w:p w14:paraId="1F245424" w14:textId="77777777" w:rsidR="007055CA" w:rsidRPr="00172C7B" w:rsidRDefault="007055CA" w:rsidP="007055CA">
            <w:pPr>
              <w:jc w:val="right"/>
            </w:pPr>
            <w:r w:rsidRPr="00172C7B">
              <w:t>8.500,00</w:t>
            </w:r>
          </w:p>
        </w:tc>
      </w:tr>
      <w:tr w:rsidR="007055CA" w:rsidRPr="00172C7B" w14:paraId="792B834E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13A0704F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0D0150A8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067FFB3A" w14:textId="77777777" w:rsidR="007055CA" w:rsidRPr="00172C7B" w:rsidRDefault="007055CA" w:rsidP="007055CA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noWrap/>
            <w:hideMark/>
          </w:tcPr>
          <w:p w14:paraId="76D58A67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61B4EE46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15594B23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1DA444AD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41EB54D9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7C22E4EA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3FBE4375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525EAA3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4AA76F0B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145BCE58" w14:textId="77777777" w:rsidR="007055CA" w:rsidRPr="00172C7B" w:rsidRDefault="007055CA" w:rsidP="007055CA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noWrap/>
            <w:hideMark/>
          </w:tcPr>
          <w:p w14:paraId="2107B52D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7696A7A8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012EBD9E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792D0F44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50AF9EBC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7C69816A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27BD3279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0CAAC475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0E3F69B0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31C64CB8" w14:textId="77777777" w:rsidR="007055CA" w:rsidRPr="00172C7B" w:rsidRDefault="007055CA" w:rsidP="007055CA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noWrap/>
            <w:hideMark/>
          </w:tcPr>
          <w:p w14:paraId="1F7A0922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3F339243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20460C9F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3A5F003C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6998DAC8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280E1475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6B17898C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387EF24D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79224544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32C844FB" w14:textId="77777777" w:rsidR="007055CA" w:rsidRPr="00172C7B" w:rsidRDefault="007055CA" w:rsidP="007055CA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noWrap/>
            <w:hideMark/>
          </w:tcPr>
          <w:p w14:paraId="480B0DA7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773C6BAC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01049D73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2918F34F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3D3AEFD3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190F33A1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324C2803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63FB8A90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43FF9180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3E7DB783" w14:textId="77777777" w:rsidR="007055CA" w:rsidRPr="00172C7B" w:rsidRDefault="007055CA" w:rsidP="007055CA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noWrap/>
            <w:hideMark/>
          </w:tcPr>
          <w:p w14:paraId="77F5F886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6DC10BFE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2EA7D455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7789812A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712D229D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6B95D2B3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21C263B8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21F60FED" w14:textId="77777777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3</w:t>
            </w:r>
          </w:p>
        </w:tc>
        <w:tc>
          <w:tcPr>
            <w:tcW w:w="1050" w:type="dxa"/>
            <w:noWrap/>
            <w:hideMark/>
          </w:tcPr>
          <w:p w14:paraId="77CDCC4A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43" w:type="dxa"/>
            <w:noWrap/>
            <w:hideMark/>
          </w:tcPr>
          <w:p w14:paraId="2D2320E1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Sječa uz ceste i prometnice</w:t>
            </w:r>
          </w:p>
        </w:tc>
        <w:tc>
          <w:tcPr>
            <w:tcW w:w="1559" w:type="dxa"/>
            <w:noWrap/>
            <w:hideMark/>
          </w:tcPr>
          <w:p w14:paraId="37B12417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53.100,00</w:t>
            </w:r>
          </w:p>
        </w:tc>
      </w:tr>
      <w:tr w:rsidR="007055CA" w:rsidRPr="00172C7B" w14:paraId="3BB603E6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397849C2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</w:p>
        </w:tc>
        <w:tc>
          <w:tcPr>
            <w:tcW w:w="1050" w:type="dxa"/>
            <w:noWrap/>
            <w:hideMark/>
          </w:tcPr>
          <w:p w14:paraId="56B26EFE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1658E61C" w14:textId="77777777" w:rsidR="007055CA" w:rsidRPr="00172C7B" w:rsidRDefault="007055CA" w:rsidP="007055CA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noWrap/>
            <w:hideMark/>
          </w:tcPr>
          <w:p w14:paraId="6B807FDC" w14:textId="77777777" w:rsidR="007055CA" w:rsidRPr="00172C7B" w:rsidRDefault="007055CA" w:rsidP="007055CA">
            <w:pPr>
              <w:jc w:val="right"/>
            </w:pPr>
            <w:r w:rsidRPr="00172C7B">
              <w:t>53.100,00</w:t>
            </w:r>
          </w:p>
        </w:tc>
      </w:tr>
      <w:tr w:rsidR="007055CA" w:rsidRPr="00172C7B" w14:paraId="4B6D43DF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50C05476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7D751EC3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112A0E43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1571D7B7" w14:textId="77777777" w:rsidR="007055CA" w:rsidRPr="00172C7B" w:rsidRDefault="007055CA" w:rsidP="007055CA">
            <w:pPr>
              <w:jc w:val="right"/>
            </w:pPr>
            <w:r w:rsidRPr="00172C7B">
              <w:t>53.100,00</w:t>
            </w:r>
          </w:p>
        </w:tc>
      </w:tr>
      <w:tr w:rsidR="007055CA" w:rsidRPr="00172C7B" w14:paraId="57D68FB0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39D1AB49" w14:textId="77777777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4</w:t>
            </w:r>
          </w:p>
        </w:tc>
        <w:tc>
          <w:tcPr>
            <w:tcW w:w="1050" w:type="dxa"/>
            <w:noWrap/>
            <w:hideMark/>
          </w:tcPr>
          <w:p w14:paraId="3BA4F13A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43" w:type="dxa"/>
            <w:noWrap/>
            <w:hideMark/>
          </w:tcPr>
          <w:p w14:paraId="41C71284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Održavanje vodoravne i vertikalne signalizacije</w:t>
            </w:r>
          </w:p>
        </w:tc>
        <w:tc>
          <w:tcPr>
            <w:tcW w:w="1559" w:type="dxa"/>
            <w:noWrap/>
            <w:hideMark/>
          </w:tcPr>
          <w:p w14:paraId="0D1E20A2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204.700,00</w:t>
            </w:r>
          </w:p>
        </w:tc>
      </w:tr>
      <w:tr w:rsidR="007055CA" w:rsidRPr="00172C7B" w14:paraId="58BD680E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5D532C8D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</w:p>
        </w:tc>
        <w:tc>
          <w:tcPr>
            <w:tcW w:w="1050" w:type="dxa"/>
            <w:noWrap/>
            <w:hideMark/>
          </w:tcPr>
          <w:p w14:paraId="5AE1005A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04D76274" w14:textId="77777777" w:rsidR="007055CA" w:rsidRPr="00172C7B" w:rsidRDefault="007055CA" w:rsidP="007055CA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noWrap/>
            <w:hideMark/>
          </w:tcPr>
          <w:p w14:paraId="55E8A2E1" w14:textId="77777777" w:rsidR="007055CA" w:rsidRPr="00172C7B" w:rsidRDefault="007055CA" w:rsidP="007055CA">
            <w:pPr>
              <w:jc w:val="right"/>
            </w:pPr>
            <w:r w:rsidRPr="00172C7B">
              <w:t>159.700,00</w:t>
            </w:r>
          </w:p>
        </w:tc>
      </w:tr>
      <w:tr w:rsidR="007055CA" w:rsidRPr="00172C7B" w14:paraId="6417C832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54DC483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4378D737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0DE53C1D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2E3FE3ED" w14:textId="77777777" w:rsidR="007055CA" w:rsidRPr="00172C7B" w:rsidRDefault="007055CA" w:rsidP="007055CA">
            <w:pPr>
              <w:jc w:val="right"/>
            </w:pPr>
            <w:r w:rsidRPr="00172C7B">
              <w:t>159.000,00</w:t>
            </w:r>
          </w:p>
        </w:tc>
      </w:tr>
      <w:tr w:rsidR="007055CA" w:rsidRPr="00172C7B" w14:paraId="0D4A5324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F6822D7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590D9BE6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7A22A1E4" w14:textId="77777777" w:rsidR="007055CA" w:rsidRPr="00172C7B" w:rsidRDefault="007055CA" w:rsidP="007055CA">
            <w:pPr>
              <w:jc w:val="left"/>
            </w:pPr>
            <w:r w:rsidRPr="00172C7B">
              <w:t>Prihodi od sufinanciranja za proračun</w:t>
            </w:r>
          </w:p>
        </w:tc>
        <w:tc>
          <w:tcPr>
            <w:tcW w:w="1559" w:type="dxa"/>
            <w:noWrap/>
            <w:hideMark/>
          </w:tcPr>
          <w:p w14:paraId="1DA991C7" w14:textId="77777777" w:rsidR="007055CA" w:rsidRPr="00172C7B" w:rsidRDefault="007055CA" w:rsidP="007055CA">
            <w:pPr>
              <w:jc w:val="right"/>
            </w:pPr>
            <w:r w:rsidRPr="00172C7B">
              <w:t>700,00</w:t>
            </w:r>
          </w:p>
        </w:tc>
      </w:tr>
      <w:tr w:rsidR="007055CA" w:rsidRPr="00172C7B" w14:paraId="4A12F2DB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764495E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5D5F8B51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3570791E" w14:textId="77777777" w:rsidR="007055CA" w:rsidRPr="00172C7B" w:rsidRDefault="007055CA" w:rsidP="007055CA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noWrap/>
            <w:hideMark/>
          </w:tcPr>
          <w:p w14:paraId="36E353CF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27F0FC37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53FBA069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7745C8B6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4B31F5E3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56B2E466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55C3415D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630897AE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5BAFD5E9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03AE3479" w14:textId="77777777" w:rsidR="007055CA" w:rsidRPr="00172C7B" w:rsidRDefault="007055CA" w:rsidP="007055CA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noWrap/>
            <w:hideMark/>
          </w:tcPr>
          <w:p w14:paraId="4D1FBDDA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230F5CF1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3EAF7F93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6DBE0EBB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2F47FE17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77EB9065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17E69A2A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1F6D52E8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40126174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1C316A72" w14:textId="77777777" w:rsidR="007055CA" w:rsidRPr="00172C7B" w:rsidRDefault="007055CA" w:rsidP="007055CA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noWrap/>
            <w:hideMark/>
          </w:tcPr>
          <w:p w14:paraId="2ECD5FF2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3CF383EA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04B4E92B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2B61DB08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641C9586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37A12ACB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04C6B468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65187D80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77937B00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6FE2B797" w14:textId="77777777" w:rsidR="007055CA" w:rsidRPr="00172C7B" w:rsidRDefault="007055CA" w:rsidP="007055CA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noWrap/>
            <w:hideMark/>
          </w:tcPr>
          <w:p w14:paraId="67AA2127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03F04333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5603A816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65543792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6AE4C53C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656F8FE5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10474402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334EAA6F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6BED32EC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05C77655" w14:textId="77777777" w:rsidR="007055CA" w:rsidRPr="00172C7B" w:rsidRDefault="007055CA" w:rsidP="007055CA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noWrap/>
            <w:hideMark/>
          </w:tcPr>
          <w:p w14:paraId="50135240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66DDB58C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1908C3A4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004625ED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1E29A32E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3E65EA63" w14:textId="77777777" w:rsidR="007055CA" w:rsidRPr="00172C7B" w:rsidRDefault="007055CA" w:rsidP="007055CA">
            <w:pPr>
              <w:jc w:val="right"/>
            </w:pPr>
            <w:r w:rsidRPr="00172C7B">
              <w:t>9.000,00</w:t>
            </w:r>
          </w:p>
        </w:tc>
      </w:tr>
      <w:tr w:rsidR="007055CA" w:rsidRPr="00172C7B" w14:paraId="332FA9C8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628AB70A" w14:textId="77777777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5</w:t>
            </w:r>
          </w:p>
        </w:tc>
        <w:tc>
          <w:tcPr>
            <w:tcW w:w="1050" w:type="dxa"/>
            <w:noWrap/>
            <w:hideMark/>
          </w:tcPr>
          <w:p w14:paraId="7E9CEC25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43" w:type="dxa"/>
            <w:noWrap/>
            <w:hideMark/>
          </w:tcPr>
          <w:p w14:paraId="651C4EC3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Održavanje makadamskih cesta i pristupnih puteva</w:t>
            </w:r>
          </w:p>
        </w:tc>
        <w:tc>
          <w:tcPr>
            <w:tcW w:w="1559" w:type="dxa"/>
            <w:noWrap/>
            <w:hideMark/>
          </w:tcPr>
          <w:p w14:paraId="0A066A7B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105.200,00</w:t>
            </w:r>
          </w:p>
        </w:tc>
      </w:tr>
      <w:tr w:rsidR="007055CA" w:rsidRPr="00172C7B" w14:paraId="6FD8A4F1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469120DE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</w:p>
        </w:tc>
        <w:tc>
          <w:tcPr>
            <w:tcW w:w="1050" w:type="dxa"/>
            <w:noWrap/>
            <w:hideMark/>
          </w:tcPr>
          <w:p w14:paraId="48A6BBDD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3F81F79C" w14:textId="77777777" w:rsidR="007055CA" w:rsidRPr="00172C7B" w:rsidRDefault="007055CA" w:rsidP="007055CA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noWrap/>
            <w:hideMark/>
          </w:tcPr>
          <w:p w14:paraId="7804EBD8" w14:textId="77777777" w:rsidR="007055CA" w:rsidRPr="00172C7B" w:rsidRDefault="007055CA" w:rsidP="007055CA">
            <w:pPr>
              <w:jc w:val="right"/>
            </w:pPr>
            <w:r w:rsidRPr="00172C7B">
              <w:t>45.200,00</w:t>
            </w:r>
          </w:p>
        </w:tc>
      </w:tr>
      <w:tr w:rsidR="007055CA" w:rsidRPr="00172C7B" w14:paraId="6150C5C2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653CABE8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639BD4F2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6C4536CE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36547672" w14:textId="77777777" w:rsidR="007055CA" w:rsidRPr="00172C7B" w:rsidRDefault="007055CA" w:rsidP="007055CA">
            <w:pPr>
              <w:jc w:val="right"/>
            </w:pPr>
            <w:r w:rsidRPr="00172C7B">
              <w:t>18.930,00</w:t>
            </w:r>
          </w:p>
        </w:tc>
      </w:tr>
      <w:tr w:rsidR="007055CA" w:rsidRPr="00172C7B" w14:paraId="7567FD6D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2BF9537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3ACC54D8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4BDFB1AB" w14:textId="77777777" w:rsidR="007055CA" w:rsidRPr="00172C7B" w:rsidRDefault="007055CA" w:rsidP="007055CA">
            <w:pPr>
              <w:jc w:val="left"/>
            </w:pPr>
            <w:r w:rsidRPr="00172C7B">
              <w:t>Prihodi od ostalih koncesija</w:t>
            </w:r>
          </w:p>
        </w:tc>
        <w:tc>
          <w:tcPr>
            <w:tcW w:w="1559" w:type="dxa"/>
            <w:noWrap/>
            <w:hideMark/>
          </w:tcPr>
          <w:p w14:paraId="5FAFC6BC" w14:textId="77777777" w:rsidR="007055CA" w:rsidRPr="00172C7B" w:rsidRDefault="007055CA" w:rsidP="007055CA">
            <w:pPr>
              <w:jc w:val="right"/>
            </w:pPr>
            <w:r w:rsidRPr="00172C7B">
              <w:t>26.270,00</w:t>
            </w:r>
          </w:p>
        </w:tc>
      </w:tr>
      <w:tr w:rsidR="007055CA" w:rsidRPr="00172C7B" w14:paraId="50CDCD37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3172245A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02E95DF3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4DC5F12B" w14:textId="77777777" w:rsidR="007055CA" w:rsidRPr="00172C7B" w:rsidRDefault="007055CA" w:rsidP="007055CA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noWrap/>
            <w:hideMark/>
          </w:tcPr>
          <w:p w14:paraId="3DC1D9D0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2E794320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024689DB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672345FC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4F40D3ED" w14:textId="77777777" w:rsidR="007055CA" w:rsidRPr="00172C7B" w:rsidRDefault="007055CA" w:rsidP="007055CA">
            <w:pPr>
              <w:jc w:val="left"/>
            </w:pPr>
            <w:r w:rsidRPr="00172C7B">
              <w:t>Prihodi od ostalih koncesija</w:t>
            </w:r>
          </w:p>
        </w:tc>
        <w:tc>
          <w:tcPr>
            <w:tcW w:w="1559" w:type="dxa"/>
            <w:noWrap/>
            <w:hideMark/>
          </w:tcPr>
          <w:p w14:paraId="050F13DA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4A654C4F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D10ED8D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0D762CA4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099B5125" w14:textId="77777777" w:rsidR="007055CA" w:rsidRPr="00172C7B" w:rsidRDefault="007055CA" w:rsidP="007055CA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noWrap/>
            <w:hideMark/>
          </w:tcPr>
          <w:p w14:paraId="2684A972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71E0FD18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2B2D60FF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06EED881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13F47361" w14:textId="77777777" w:rsidR="007055CA" w:rsidRPr="00172C7B" w:rsidRDefault="007055CA" w:rsidP="007055CA">
            <w:pPr>
              <w:jc w:val="left"/>
            </w:pPr>
            <w:r w:rsidRPr="00172C7B">
              <w:t>Prihodi od ostalih koncesija</w:t>
            </w:r>
          </w:p>
        </w:tc>
        <w:tc>
          <w:tcPr>
            <w:tcW w:w="1559" w:type="dxa"/>
            <w:noWrap/>
            <w:hideMark/>
          </w:tcPr>
          <w:p w14:paraId="23FB11A7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54CE020C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5F5A8238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2E428BF7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4A00529B" w14:textId="77777777" w:rsidR="007055CA" w:rsidRPr="00172C7B" w:rsidRDefault="007055CA" w:rsidP="007055CA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noWrap/>
            <w:hideMark/>
          </w:tcPr>
          <w:p w14:paraId="096DCFEA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10F0D065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E316F7B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498EBBD1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03C81DC4" w14:textId="77777777" w:rsidR="007055CA" w:rsidRPr="00172C7B" w:rsidRDefault="007055CA" w:rsidP="007055CA">
            <w:pPr>
              <w:jc w:val="left"/>
            </w:pPr>
            <w:r w:rsidRPr="00172C7B">
              <w:t>Prihodi od ostalih koncesija</w:t>
            </w:r>
          </w:p>
        </w:tc>
        <w:tc>
          <w:tcPr>
            <w:tcW w:w="1559" w:type="dxa"/>
            <w:noWrap/>
            <w:hideMark/>
          </w:tcPr>
          <w:p w14:paraId="2F2A9DB4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6BC7AC9E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0177698B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5D18AB79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167720B8" w14:textId="77777777" w:rsidR="007055CA" w:rsidRPr="00172C7B" w:rsidRDefault="007055CA" w:rsidP="007055CA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noWrap/>
            <w:hideMark/>
          </w:tcPr>
          <w:p w14:paraId="732EF707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4824B045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66362AF3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471A885D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5FEE3AB0" w14:textId="77777777" w:rsidR="007055CA" w:rsidRPr="00172C7B" w:rsidRDefault="007055CA" w:rsidP="007055CA">
            <w:pPr>
              <w:jc w:val="left"/>
            </w:pPr>
            <w:r w:rsidRPr="00172C7B">
              <w:t>Prihodi od ostalih koncesija</w:t>
            </w:r>
          </w:p>
        </w:tc>
        <w:tc>
          <w:tcPr>
            <w:tcW w:w="1559" w:type="dxa"/>
            <w:noWrap/>
            <w:hideMark/>
          </w:tcPr>
          <w:p w14:paraId="514E6926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24363B19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428B1C43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6DC7FDF8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2C6705CF" w14:textId="77777777" w:rsidR="007055CA" w:rsidRPr="00172C7B" w:rsidRDefault="007055CA" w:rsidP="007055CA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noWrap/>
            <w:hideMark/>
          </w:tcPr>
          <w:p w14:paraId="0756B3A3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536860A3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4F86017A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62F38587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33566E93" w14:textId="77777777" w:rsidR="007055CA" w:rsidRPr="00172C7B" w:rsidRDefault="007055CA" w:rsidP="007055CA">
            <w:pPr>
              <w:jc w:val="left"/>
            </w:pPr>
            <w:r w:rsidRPr="00172C7B">
              <w:t>Prihodi od ostalih koncesija</w:t>
            </w:r>
          </w:p>
        </w:tc>
        <w:tc>
          <w:tcPr>
            <w:tcW w:w="1559" w:type="dxa"/>
            <w:noWrap/>
            <w:hideMark/>
          </w:tcPr>
          <w:p w14:paraId="15DCD1C6" w14:textId="77777777" w:rsidR="007055CA" w:rsidRPr="00172C7B" w:rsidRDefault="007055CA" w:rsidP="007055CA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5F91A206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66502088" w14:textId="77777777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lastRenderedPageBreak/>
              <w:t>6</w:t>
            </w:r>
          </w:p>
        </w:tc>
        <w:tc>
          <w:tcPr>
            <w:tcW w:w="1050" w:type="dxa"/>
            <w:noWrap/>
            <w:hideMark/>
          </w:tcPr>
          <w:p w14:paraId="2AFD0103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43" w:type="dxa"/>
            <w:noWrap/>
            <w:hideMark/>
          </w:tcPr>
          <w:p w14:paraId="471C9061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Postavljanje stupića i čunjeva</w:t>
            </w:r>
          </w:p>
        </w:tc>
        <w:tc>
          <w:tcPr>
            <w:tcW w:w="1559" w:type="dxa"/>
            <w:noWrap/>
            <w:hideMark/>
          </w:tcPr>
          <w:p w14:paraId="2DDBAD3C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7.300,00</w:t>
            </w:r>
          </w:p>
        </w:tc>
      </w:tr>
      <w:tr w:rsidR="007055CA" w:rsidRPr="00172C7B" w14:paraId="7D660CEE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7101A81A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</w:p>
        </w:tc>
        <w:tc>
          <w:tcPr>
            <w:tcW w:w="1050" w:type="dxa"/>
            <w:noWrap/>
            <w:hideMark/>
          </w:tcPr>
          <w:p w14:paraId="679AEB2C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43" w:type="dxa"/>
            <w:noWrap/>
            <w:hideMark/>
          </w:tcPr>
          <w:p w14:paraId="3D3CEF65" w14:textId="77777777" w:rsidR="007055CA" w:rsidRPr="00172C7B" w:rsidRDefault="007055CA" w:rsidP="007055CA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noWrap/>
            <w:hideMark/>
          </w:tcPr>
          <w:p w14:paraId="65B8CB8F" w14:textId="77777777" w:rsidR="007055CA" w:rsidRPr="00172C7B" w:rsidRDefault="007055CA" w:rsidP="007055CA">
            <w:pPr>
              <w:jc w:val="right"/>
            </w:pPr>
            <w:r w:rsidRPr="00172C7B">
              <w:t>7.300,00</w:t>
            </w:r>
          </w:p>
        </w:tc>
      </w:tr>
      <w:tr w:rsidR="007055CA" w:rsidRPr="00172C7B" w14:paraId="79DFC414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4F0AFA73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7336EE82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43" w:type="dxa"/>
            <w:noWrap/>
            <w:hideMark/>
          </w:tcPr>
          <w:p w14:paraId="1D68DE2D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noWrap/>
            <w:hideMark/>
          </w:tcPr>
          <w:p w14:paraId="5B201C05" w14:textId="77777777" w:rsidR="007055CA" w:rsidRPr="00172C7B" w:rsidRDefault="007055CA" w:rsidP="007055CA">
            <w:pPr>
              <w:jc w:val="right"/>
            </w:pPr>
            <w:r w:rsidRPr="00172C7B">
              <w:t>7.300,00</w:t>
            </w:r>
          </w:p>
        </w:tc>
      </w:tr>
      <w:tr w:rsidR="007055CA" w:rsidRPr="00172C7B" w14:paraId="19C624B5" w14:textId="77777777" w:rsidTr="007055CA">
        <w:trPr>
          <w:trHeight w:val="255"/>
        </w:trPr>
        <w:tc>
          <w:tcPr>
            <w:tcW w:w="720" w:type="dxa"/>
            <w:noWrap/>
            <w:hideMark/>
          </w:tcPr>
          <w:p w14:paraId="1872326C" w14:textId="77777777" w:rsidR="007055CA" w:rsidRPr="00172C7B" w:rsidRDefault="007055CA" w:rsidP="007055CA">
            <w:pPr>
              <w:jc w:val="right"/>
            </w:pPr>
          </w:p>
        </w:tc>
        <w:tc>
          <w:tcPr>
            <w:tcW w:w="1050" w:type="dxa"/>
            <w:noWrap/>
            <w:hideMark/>
          </w:tcPr>
          <w:p w14:paraId="70051626" w14:textId="77777777" w:rsidR="007055CA" w:rsidRPr="00172C7B" w:rsidRDefault="007055CA" w:rsidP="007055CA">
            <w:pPr>
              <w:jc w:val="left"/>
            </w:pPr>
          </w:p>
        </w:tc>
        <w:tc>
          <w:tcPr>
            <w:tcW w:w="5743" w:type="dxa"/>
            <w:noWrap/>
            <w:hideMark/>
          </w:tcPr>
          <w:p w14:paraId="0E2FA37F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Ukupno:</w:t>
            </w:r>
          </w:p>
        </w:tc>
        <w:tc>
          <w:tcPr>
            <w:tcW w:w="1559" w:type="dxa"/>
            <w:noWrap/>
            <w:hideMark/>
          </w:tcPr>
          <w:p w14:paraId="54A003FF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518.170,00</w:t>
            </w:r>
          </w:p>
        </w:tc>
      </w:tr>
    </w:tbl>
    <w:p w14:paraId="63AF3609" w14:textId="77777777" w:rsidR="0068364C" w:rsidRPr="00172C7B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r w:rsidRPr="00172C7B">
        <w:rPr>
          <w:szCs w:val="24"/>
        </w:rPr>
        <w:t>ODRŽAVANJE JAVNIH POVRŠINE NA KOJIMA NIJE DOPUŠTEN PROMET MOTORNIH VOZILA</w:t>
      </w:r>
    </w:p>
    <w:p w14:paraId="53B8D72D" w14:textId="77777777" w:rsidR="0068364C" w:rsidRPr="00172C7B" w:rsidRDefault="0068364C" w:rsidP="004349BD">
      <w:pPr>
        <w:pStyle w:val="Odlomakpopisa"/>
        <w:ind w:left="0"/>
        <w:rPr>
          <w:szCs w:val="24"/>
          <w:lang w:val="hr-HR" w:eastAsia="hr-HR"/>
        </w:rPr>
      </w:pPr>
      <w:r w:rsidRPr="00172C7B">
        <w:rPr>
          <w:szCs w:val="24"/>
          <w:lang w:val="hr-HR" w:eastAsia="hr-HR"/>
        </w:rPr>
        <w:t>Održavanje javnih površina na kojima nije dopušten promet motornih vozila podrazumijeva održavanje i popravke tih površina kojima se osigurava njihova funkcionalna ispravnost.</w:t>
      </w:r>
    </w:p>
    <w:p w14:paraId="7523C65E" w14:textId="6D5F5E53" w:rsidR="0068364C" w:rsidRPr="00172C7B" w:rsidRDefault="0068364C" w:rsidP="004349BD">
      <w:pPr>
        <w:outlineLvl w:val="0"/>
      </w:pPr>
      <w:r w:rsidRPr="00172C7B">
        <w:t xml:space="preserve">Obuhvaća održavanje plaža, pražnjenje, odvoz i zbrinjavanje otpada iz košarica i bačvi, čišćenje priobalja strojem i plovilom, odvoz i zbrinjavanje otpadnog materijala, održavanje </w:t>
      </w:r>
      <w:r w:rsidR="00BF1AD0" w:rsidRPr="00172C7B">
        <w:t>21</w:t>
      </w:r>
      <w:r w:rsidRPr="00172C7B">
        <w:t xml:space="preserve"> komada tuševa i </w:t>
      </w:r>
      <w:r w:rsidR="00BF1AD0" w:rsidRPr="00172C7B">
        <w:t>8</w:t>
      </w:r>
      <w:r w:rsidRPr="00172C7B">
        <w:t xml:space="preserve"> sanitarnih čvorova na plažama te utrošak vode.</w:t>
      </w:r>
    </w:p>
    <w:p w14:paraId="7EB28292" w14:textId="214814F3" w:rsidR="007055CA" w:rsidRPr="00172C7B" w:rsidRDefault="007055CA" w:rsidP="004349BD">
      <w:pPr>
        <w:outlineLvl w:val="0"/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25"/>
        <w:gridCol w:w="1217"/>
        <w:gridCol w:w="5733"/>
        <w:gridCol w:w="1559"/>
      </w:tblGrid>
      <w:tr w:rsidR="007055CA" w:rsidRPr="00172C7B" w14:paraId="44052C11" w14:textId="77777777" w:rsidTr="007055CA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165C" w14:textId="77777777" w:rsidR="007055CA" w:rsidRPr="00172C7B" w:rsidRDefault="007055CA" w:rsidP="007055CA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8A69" w14:textId="77777777" w:rsidR="007055CA" w:rsidRPr="00172C7B" w:rsidRDefault="007055CA" w:rsidP="007055CA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Oznaka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074" w14:textId="77777777" w:rsidR="007055CA" w:rsidRPr="00172C7B" w:rsidRDefault="007055CA" w:rsidP="007055CA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8D4" w14:textId="77777777" w:rsidR="007055CA" w:rsidRPr="00172C7B" w:rsidRDefault="007055CA" w:rsidP="007055CA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7055CA" w:rsidRPr="00172C7B" w14:paraId="54CCEF39" w14:textId="77777777" w:rsidTr="007055CA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53DB" w14:textId="77777777" w:rsidR="007055CA" w:rsidRPr="00172C7B" w:rsidRDefault="007055CA" w:rsidP="007055CA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D91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48AD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Čišćenje priobalja i održavanje gradskih plaža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F5B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89.700,00</w:t>
            </w:r>
          </w:p>
        </w:tc>
      </w:tr>
      <w:tr w:rsidR="007055CA" w:rsidRPr="00172C7B" w14:paraId="47FE9AED" w14:textId="77777777" w:rsidTr="007055CA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3D64" w14:textId="77777777" w:rsidR="007055CA" w:rsidRPr="00172C7B" w:rsidRDefault="007055CA" w:rsidP="007055CA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FD71" w14:textId="77777777" w:rsidR="007055CA" w:rsidRPr="00172C7B" w:rsidRDefault="007055CA" w:rsidP="007055CA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944" w14:textId="77777777" w:rsidR="007055CA" w:rsidRPr="00172C7B" w:rsidRDefault="007055CA" w:rsidP="007055CA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2127" w14:textId="77777777" w:rsidR="007055CA" w:rsidRPr="00172C7B" w:rsidRDefault="007055CA" w:rsidP="007055CA">
            <w:pPr>
              <w:jc w:val="right"/>
            </w:pPr>
            <w:r w:rsidRPr="00172C7B">
              <w:t>89.700,00</w:t>
            </w:r>
          </w:p>
        </w:tc>
      </w:tr>
      <w:tr w:rsidR="007055CA" w:rsidRPr="00172C7B" w14:paraId="36F766EE" w14:textId="77777777" w:rsidTr="007055CA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5410" w14:textId="77777777" w:rsidR="007055CA" w:rsidRPr="00172C7B" w:rsidRDefault="007055CA" w:rsidP="007055CA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94C0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404D" w14:textId="77777777" w:rsidR="007055CA" w:rsidRPr="00172C7B" w:rsidRDefault="007055CA" w:rsidP="007055CA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672" w14:textId="77777777" w:rsidR="007055CA" w:rsidRPr="00172C7B" w:rsidRDefault="007055CA" w:rsidP="007055CA">
            <w:pPr>
              <w:jc w:val="right"/>
            </w:pPr>
            <w:r w:rsidRPr="00172C7B">
              <w:t>32.420,00</w:t>
            </w:r>
          </w:p>
        </w:tc>
      </w:tr>
      <w:tr w:rsidR="007055CA" w:rsidRPr="00172C7B" w14:paraId="6A42BA08" w14:textId="77777777" w:rsidTr="007055CA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960C" w14:textId="77777777" w:rsidR="007055CA" w:rsidRPr="00172C7B" w:rsidRDefault="007055CA" w:rsidP="007055CA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AA5" w14:textId="77777777" w:rsidR="007055CA" w:rsidRPr="00172C7B" w:rsidRDefault="007055CA" w:rsidP="007055CA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BF14" w14:textId="77777777" w:rsidR="007055CA" w:rsidRPr="00172C7B" w:rsidRDefault="007055CA" w:rsidP="007055CA">
            <w:pPr>
              <w:jc w:val="left"/>
            </w:pPr>
            <w:r w:rsidRPr="00172C7B">
              <w:t>Prihodi od koncesija i dozvola na pomorskom dobru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284" w14:textId="77777777" w:rsidR="007055CA" w:rsidRPr="00172C7B" w:rsidRDefault="007055CA" w:rsidP="007055CA">
            <w:pPr>
              <w:jc w:val="right"/>
            </w:pPr>
            <w:r w:rsidRPr="00172C7B">
              <w:t>57.280,00</w:t>
            </w:r>
          </w:p>
        </w:tc>
      </w:tr>
      <w:tr w:rsidR="007055CA" w:rsidRPr="00172C7B" w14:paraId="5329CE9D" w14:textId="77777777" w:rsidTr="007055CA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B12" w14:textId="77777777" w:rsidR="007055CA" w:rsidRPr="00172C7B" w:rsidRDefault="007055CA" w:rsidP="007055CA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62D" w14:textId="77777777" w:rsidR="007055CA" w:rsidRPr="00172C7B" w:rsidRDefault="007055CA" w:rsidP="007055CA">
            <w:pPr>
              <w:jc w:val="left"/>
            </w:pPr>
            <w:r w:rsidRPr="00172C7B"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8E83" w14:textId="77777777" w:rsidR="007055CA" w:rsidRPr="00172C7B" w:rsidRDefault="007055CA" w:rsidP="007055CA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F9FB" w14:textId="77777777" w:rsidR="007055CA" w:rsidRPr="00172C7B" w:rsidRDefault="007055CA" w:rsidP="007055C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89.700,00</w:t>
            </w:r>
          </w:p>
        </w:tc>
      </w:tr>
    </w:tbl>
    <w:p w14:paraId="65587622" w14:textId="0DB8D79D" w:rsidR="007055CA" w:rsidRPr="00172C7B" w:rsidRDefault="007055CA" w:rsidP="004349BD">
      <w:pPr>
        <w:outlineLvl w:val="0"/>
      </w:pPr>
    </w:p>
    <w:p w14:paraId="0D5FE6B5" w14:textId="77777777" w:rsidR="0068364C" w:rsidRPr="00172C7B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bookmarkStart w:id="0" w:name="_Hlk150410390"/>
      <w:r w:rsidRPr="00172C7B">
        <w:rPr>
          <w:szCs w:val="24"/>
        </w:rPr>
        <w:t>ODRŽAVANJE GRAĐEVINE JAVNE ODVODNJE OBORINSKIH VODA</w:t>
      </w:r>
    </w:p>
    <w:p w14:paraId="332265BA" w14:textId="77777777" w:rsidR="0068364C" w:rsidRPr="00172C7B" w:rsidRDefault="0068364C" w:rsidP="004349BD">
      <w:r w:rsidRPr="00172C7B">
        <w:t>Održavanje građevina javne odvodnje oborinskih voda podrazumijeva upravljanje i održavanje građevina koje služe prihvatu, odvodnji i ispuštanju oborinskih voda iz građevina i površina javne namjene u građevinskom području.</w:t>
      </w:r>
    </w:p>
    <w:p w14:paraId="49A55E58" w14:textId="7CF29719" w:rsidR="0068364C" w:rsidRPr="00172C7B" w:rsidRDefault="0068364C" w:rsidP="004349BD">
      <w:r w:rsidRPr="00172C7B">
        <w:t xml:space="preserve">Obuhvaća održavanje kompletnog sustava ukupne dužine </w:t>
      </w:r>
      <w:r w:rsidR="00317B42" w:rsidRPr="00172C7B">
        <w:t>43.928,35</w:t>
      </w:r>
      <w:r w:rsidR="0052368A" w:rsidRPr="00172C7B">
        <w:t xml:space="preserve"> </w:t>
      </w:r>
      <w:r w:rsidRPr="00172C7B">
        <w:t xml:space="preserve">m, sa </w:t>
      </w:r>
      <w:r w:rsidR="00317B42" w:rsidRPr="00172C7B">
        <w:t>1.266</w:t>
      </w:r>
      <w:r w:rsidRPr="00172C7B">
        <w:t xml:space="preserve"> slivnika, </w:t>
      </w:r>
      <w:r w:rsidR="00317B42" w:rsidRPr="00172C7B">
        <w:t>502</w:t>
      </w:r>
      <w:r w:rsidRPr="00172C7B">
        <w:t xml:space="preserve"> revizion</w:t>
      </w:r>
      <w:r w:rsidR="00317B42" w:rsidRPr="00172C7B">
        <w:t xml:space="preserve">a </w:t>
      </w:r>
      <w:r w:rsidRPr="00172C7B">
        <w:t>ok</w:t>
      </w:r>
      <w:r w:rsidR="0052368A" w:rsidRPr="00172C7B">
        <w:t>n</w:t>
      </w:r>
      <w:r w:rsidR="00317B42" w:rsidRPr="00172C7B">
        <w:t>a</w:t>
      </w:r>
      <w:r w:rsidRPr="00172C7B">
        <w:t>, 527 spojnih kanala, 5</w:t>
      </w:r>
      <w:r w:rsidR="00317B42" w:rsidRPr="00172C7B">
        <w:t>7</w:t>
      </w:r>
      <w:r w:rsidRPr="00172C7B">
        <w:t xml:space="preserve"> linijsk</w:t>
      </w:r>
      <w:r w:rsidR="0052368A" w:rsidRPr="00172C7B">
        <w:t>ih</w:t>
      </w:r>
      <w:r w:rsidRPr="00172C7B">
        <w:t xml:space="preserve"> rešetk</w:t>
      </w:r>
      <w:r w:rsidR="0052368A" w:rsidRPr="00172C7B">
        <w:t>i</w:t>
      </w:r>
      <w:r w:rsidRPr="00172C7B">
        <w:t>, 1.963 m drenažn</w:t>
      </w:r>
      <w:r w:rsidR="00317B42" w:rsidRPr="00172C7B">
        <w:t>ih</w:t>
      </w:r>
      <w:r w:rsidRPr="00172C7B">
        <w:t xml:space="preserve"> </w:t>
      </w:r>
      <w:proofErr w:type="spellStart"/>
      <w:r w:rsidRPr="00172C7B">
        <w:t>kinet</w:t>
      </w:r>
      <w:r w:rsidR="00317B42" w:rsidRPr="00172C7B">
        <w:t>a</w:t>
      </w:r>
      <w:proofErr w:type="spellEnd"/>
      <w:r w:rsidRPr="00172C7B">
        <w:t>, 1</w:t>
      </w:r>
      <w:r w:rsidR="0052368A" w:rsidRPr="00172C7B">
        <w:t>.130</w:t>
      </w:r>
      <w:r w:rsidRPr="00172C7B">
        <w:t xml:space="preserve"> kanala </w:t>
      </w:r>
      <w:proofErr w:type="spellStart"/>
      <w:r w:rsidRPr="00172C7B">
        <w:t>kineta</w:t>
      </w:r>
      <w:proofErr w:type="spellEnd"/>
      <w:r w:rsidRPr="00172C7B">
        <w:t>, 2</w:t>
      </w:r>
      <w:r w:rsidR="00317B42" w:rsidRPr="00172C7B">
        <w:t>8</w:t>
      </w:r>
      <w:r w:rsidRPr="00172C7B">
        <w:t xml:space="preserve"> separatora, </w:t>
      </w:r>
      <w:r w:rsidR="0052368A" w:rsidRPr="00172C7B">
        <w:t>3</w:t>
      </w:r>
      <w:r w:rsidR="00317B42" w:rsidRPr="00172C7B">
        <w:t>4</w:t>
      </w:r>
      <w:r w:rsidRPr="00172C7B">
        <w:t xml:space="preserve"> </w:t>
      </w:r>
      <w:proofErr w:type="spellStart"/>
      <w:r w:rsidRPr="00172C7B">
        <w:t>upojn</w:t>
      </w:r>
      <w:r w:rsidR="0052368A" w:rsidRPr="00172C7B">
        <w:t>ih</w:t>
      </w:r>
      <w:proofErr w:type="spellEnd"/>
      <w:r w:rsidRPr="00172C7B">
        <w:t xml:space="preserve"> bunara, 400 m betonskih kanala i 200 m otvorenih kanala.</w:t>
      </w:r>
    </w:p>
    <w:p w14:paraId="019B908C" w14:textId="786761BD" w:rsidR="008A303C" w:rsidRPr="00172C7B" w:rsidRDefault="008A303C" w:rsidP="004349BD"/>
    <w:tbl>
      <w:tblPr>
        <w:tblW w:w="9067" w:type="dxa"/>
        <w:tblLook w:val="04A0" w:firstRow="1" w:lastRow="0" w:firstColumn="1" w:lastColumn="0" w:noHBand="0" w:noVBand="1"/>
      </w:tblPr>
      <w:tblGrid>
        <w:gridCol w:w="725"/>
        <w:gridCol w:w="1217"/>
        <w:gridCol w:w="5733"/>
        <w:gridCol w:w="1559"/>
      </w:tblGrid>
      <w:tr w:rsidR="007055CA" w:rsidRPr="00172C7B" w14:paraId="1D3F8E7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545382F0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40E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Oznaka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206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7DA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7055CA" w:rsidRPr="00172C7B" w14:paraId="5DB56C7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DA9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93C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7F84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Redovno održavanje oborinske kanalizacije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DA4B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46.500,00</w:t>
            </w:r>
          </w:p>
        </w:tc>
      </w:tr>
      <w:tr w:rsidR="007055CA" w:rsidRPr="00172C7B" w14:paraId="7F5C223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5A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698B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8BD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9D4" w14:textId="77777777" w:rsidR="007055CA" w:rsidRPr="00172C7B" w:rsidRDefault="007055CA" w:rsidP="00AD3CC9">
            <w:pPr>
              <w:jc w:val="right"/>
            </w:pPr>
            <w:r w:rsidRPr="00172C7B">
              <w:t>45.500,00</w:t>
            </w:r>
          </w:p>
        </w:tc>
      </w:tr>
      <w:tr w:rsidR="007055CA" w:rsidRPr="00172C7B" w14:paraId="496691F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44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9FD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DBB5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7EB3" w14:textId="77777777" w:rsidR="007055CA" w:rsidRPr="00172C7B" w:rsidRDefault="007055CA" w:rsidP="00AD3CC9">
            <w:pPr>
              <w:jc w:val="right"/>
            </w:pPr>
            <w:r w:rsidRPr="00172C7B">
              <w:t>45.500,00</w:t>
            </w:r>
          </w:p>
        </w:tc>
      </w:tr>
      <w:tr w:rsidR="007055CA" w:rsidRPr="00172C7B" w14:paraId="46084D3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AC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0B8B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C205" w14:textId="77777777" w:rsidR="007055CA" w:rsidRPr="00172C7B" w:rsidRDefault="007055CA" w:rsidP="00AD3CC9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A39" w14:textId="77777777" w:rsidR="007055CA" w:rsidRPr="00172C7B" w:rsidRDefault="007055CA" w:rsidP="00AD3CC9">
            <w:pPr>
              <w:jc w:val="right"/>
            </w:pPr>
            <w:r w:rsidRPr="00172C7B">
              <w:t>1.000,00</w:t>
            </w:r>
          </w:p>
        </w:tc>
      </w:tr>
      <w:tr w:rsidR="007055CA" w:rsidRPr="00172C7B" w14:paraId="06955E51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463E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9DC1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7CC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0047" w14:textId="77777777" w:rsidR="007055CA" w:rsidRPr="00172C7B" w:rsidRDefault="007055CA" w:rsidP="00AD3CC9">
            <w:pPr>
              <w:jc w:val="right"/>
            </w:pPr>
            <w:r w:rsidRPr="00172C7B">
              <w:t>1.000,00</w:t>
            </w:r>
          </w:p>
        </w:tc>
      </w:tr>
      <w:tr w:rsidR="007055CA" w:rsidRPr="00172C7B" w14:paraId="0D26FD1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F795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E4C6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4B03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Održavanje oborinske kanalizacije na više lokacija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5B8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66.000,00</w:t>
            </w:r>
          </w:p>
        </w:tc>
      </w:tr>
      <w:tr w:rsidR="007055CA" w:rsidRPr="00172C7B" w14:paraId="7A643C4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37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C27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6F05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E43" w14:textId="77777777" w:rsidR="007055CA" w:rsidRPr="00172C7B" w:rsidRDefault="007055CA" w:rsidP="00AD3CC9">
            <w:pPr>
              <w:jc w:val="right"/>
            </w:pPr>
            <w:r w:rsidRPr="00172C7B">
              <w:t>66.000,00</w:t>
            </w:r>
          </w:p>
        </w:tc>
      </w:tr>
      <w:tr w:rsidR="007055CA" w:rsidRPr="00172C7B" w14:paraId="7D367A5B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92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A79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967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197" w14:textId="77777777" w:rsidR="007055CA" w:rsidRPr="00172C7B" w:rsidRDefault="007055CA" w:rsidP="00AD3CC9">
            <w:pPr>
              <w:jc w:val="right"/>
            </w:pPr>
            <w:r w:rsidRPr="00172C7B">
              <w:t>61.000,00</w:t>
            </w:r>
          </w:p>
        </w:tc>
      </w:tr>
      <w:tr w:rsidR="007055CA" w:rsidRPr="00172C7B" w14:paraId="6A65873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E05B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117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2DFC" w14:textId="77777777" w:rsidR="007055CA" w:rsidRPr="00172C7B" w:rsidRDefault="007055CA" w:rsidP="00AD3CC9">
            <w:pPr>
              <w:jc w:val="left"/>
            </w:pPr>
            <w:r w:rsidRPr="00172C7B">
              <w:t>Prihodi od vodnog doprinosa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F57D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7EF4860E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0E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11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3219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9FC8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112.500,00</w:t>
            </w:r>
          </w:p>
        </w:tc>
      </w:tr>
    </w:tbl>
    <w:p w14:paraId="67E4D56A" w14:textId="77777777" w:rsidR="00696FC9" w:rsidRPr="00172C7B" w:rsidRDefault="00696FC9" w:rsidP="004349BD">
      <w:pPr>
        <w:outlineLvl w:val="0"/>
      </w:pPr>
    </w:p>
    <w:p w14:paraId="78914756" w14:textId="14A55912" w:rsidR="0068364C" w:rsidRPr="00172C7B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bookmarkStart w:id="1" w:name="_Hlk150410499"/>
      <w:r w:rsidRPr="00172C7B">
        <w:rPr>
          <w:szCs w:val="24"/>
        </w:rPr>
        <w:t>ODRŽAVANJE JAVNIH ZELENIH POVRŠINA</w:t>
      </w:r>
    </w:p>
    <w:p w14:paraId="5C119D5C" w14:textId="05F11913" w:rsidR="0094065C" w:rsidRPr="00172C7B" w:rsidRDefault="0094065C" w:rsidP="0094065C">
      <w:pPr>
        <w:spacing w:line="276" w:lineRule="auto"/>
      </w:pPr>
      <w:r w:rsidRPr="00172C7B">
        <w:t xml:space="preserve">Održavanje javnih zelenih površina podrazumijeva košnju, obrezivanje i sakupljanje biološkog otpada s javnih zelenih površina, obnovu, održavanje i njegu drveća, ukrasnog grmlja i drugog bilja, popločenih i nasipanih površina u parkovima, opreme na dječjim igralištima, </w:t>
      </w:r>
      <w:proofErr w:type="spellStart"/>
      <w:r w:rsidRPr="00172C7B">
        <w:t>fitosanitarnu</w:t>
      </w:r>
      <w:proofErr w:type="spellEnd"/>
      <w:r w:rsidRPr="00172C7B">
        <w:t xml:space="preserve"> zaštitu bilja i biljnog materijala za potrebe održavanja i druge poslove potrebni za održavanje tih površina.</w:t>
      </w:r>
    </w:p>
    <w:p w14:paraId="585C995C" w14:textId="5C8DFA18" w:rsidR="0094065C" w:rsidRPr="00172C7B" w:rsidRDefault="0094065C" w:rsidP="0094065C">
      <w:pPr>
        <w:spacing w:line="276" w:lineRule="auto"/>
      </w:pPr>
      <w:r w:rsidRPr="00172C7B">
        <w:t xml:space="preserve">Obuhvaća ukupno </w:t>
      </w:r>
      <w:r w:rsidR="006823A4" w:rsidRPr="00172C7B">
        <w:t xml:space="preserve">1.036.447,54 m2 </w:t>
      </w:r>
      <w:proofErr w:type="spellStart"/>
      <w:r w:rsidRPr="00172C7B">
        <w:t>m2</w:t>
      </w:r>
      <w:proofErr w:type="spellEnd"/>
      <w:r w:rsidRPr="00172C7B">
        <w:t xml:space="preserve"> površina za košnju u naseljima, </w:t>
      </w:r>
      <w:r w:rsidR="006823A4" w:rsidRPr="00172C7B">
        <w:t xml:space="preserve">1.168.333,00 </w:t>
      </w:r>
      <w:r w:rsidRPr="00172C7B">
        <w:t xml:space="preserve">m2 košnje uz prometnice, 6.690,0 m2 okopavanja grmlja, </w:t>
      </w:r>
      <w:proofErr w:type="spellStart"/>
      <w:r w:rsidRPr="00172C7B">
        <w:t>perena</w:t>
      </w:r>
      <w:proofErr w:type="spellEnd"/>
      <w:r w:rsidRPr="00172C7B">
        <w:t xml:space="preserve"> i stablašica sa prihranjivanjem, 3.243,0 m2 zalijevanja ukrasnog grmlja i trajnica, održavanje 955,00 m2 cvjetnih gredica, 8,92m2 korita, rezidbu trajnica i grmlja (890 m2 </w:t>
      </w:r>
      <w:proofErr w:type="spellStart"/>
      <w:r w:rsidRPr="00172C7B">
        <w:t>lavandule</w:t>
      </w:r>
      <w:proofErr w:type="spellEnd"/>
      <w:r w:rsidRPr="00172C7B">
        <w:t xml:space="preserve"> i 7.280,00 m2 ostalih trajnica), </w:t>
      </w:r>
      <w:r w:rsidRPr="00172C7B">
        <w:lastRenderedPageBreak/>
        <w:t xml:space="preserve">rezidbu stablašica, ukupno 69.415,0 m2 grabljanja zelenih površina, održavanje sustava automatskog navodnjavanja, zaštitu bilja na svim javnim površinama tijekom 6 mjeseci, zbrinjavanje otpada te razne intervencije. Obuhvaćeno je održavanje 75 dječjih igrališta 42 sportska igrališta, </w:t>
      </w:r>
      <w:r w:rsidR="006823A4" w:rsidRPr="00172C7B">
        <w:t>20</w:t>
      </w:r>
      <w:r w:rsidRPr="00172C7B">
        <w:t xml:space="preserve"> teretana na otvorenom, 1 </w:t>
      </w:r>
      <w:proofErr w:type="spellStart"/>
      <w:r w:rsidRPr="00172C7B">
        <w:t>pumptrack</w:t>
      </w:r>
      <w:proofErr w:type="spellEnd"/>
      <w:r w:rsidRPr="00172C7B">
        <w:t xml:space="preserve"> stazu, 3 igrališta za odbojku na pijesku, plaćanje električne energije (utrošak i distribucija) i vode.</w:t>
      </w:r>
    </w:p>
    <w:p w14:paraId="3303C335" w14:textId="20D56E20" w:rsidR="006823A4" w:rsidRPr="00172C7B" w:rsidRDefault="006823A4" w:rsidP="0094065C">
      <w:pPr>
        <w:spacing w:line="276" w:lineRule="auto"/>
      </w:pPr>
    </w:p>
    <w:p w14:paraId="0AF41F6D" w14:textId="77777777" w:rsidR="006823A4" w:rsidRPr="00172C7B" w:rsidRDefault="006823A4" w:rsidP="0094065C">
      <w:pPr>
        <w:spacing w:line="276" w:lineRule="auto"/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25"/>
        <w:gridCol w:w="1217"/>
        <w:gridCol w:w="5733"/>
        <w:gridCol w:w="1559"/>
      </w:tblGrid>
      <w:tr w:rsidR="007055CA" w:rsidRPr="00172C7B" w14:paraId="543308F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02D4CE3B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5E23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Oznaka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11B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1DD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7055CA" w:rsidRPr="00172C7B" w14:paraId="507A87D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07B4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4B6D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4F91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Redovno održavanje zelenih površina i parkova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45A4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822.000,00</w:t>
            </w:r>
          </w:p>
        </w:tc>
      </w:tr>
      <w:tr w:rsidR="007055CA" w:rsidRPr="00172C7B" w14:paraId="144957A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054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BFB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2F21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1BF" w14:textId="77777777" w:rsidR="007055CA" w:rsidRPr="00172C7B" w:rsidRDefault="007055CA" w:rsidP="00AD3CC9">
            <w:pPr>
              <w:jc w:val="right"/>
            </w:pPr>
            <w:r w:rsidRPr="00172C7B">
              <w:t>732.000,00</w:t>
            </w:r>
          </w:p>
        </w:tc>
      </w:tr>
      <w:tr w:rsidR="007055CA" w:rsidRPr="00172C7B" w14:paraId="272B285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723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D86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F10" w14:textId="77777777" w:rsidR="007055CA" w:rsidRPr="00172C7B" w:rsidRDefault="007055CA" w:rsidP="00AD3CC9">
            <w:pPr>
              <w:jc w:val="left"/>
            </w:pPr>
            <w:r w:rsidRPr="00172C7B">
              <w:t>Prihodi od turističke pristojbe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70D4" w14:textId="77777777" w:rsidR="007055CA" w:rsidRPr="00172C7B" w:rsidRDefault="007055CA" w:rsidP="00AD3CC9">
            <w:pPr>
              <w:jc w:val="right"/>
            </w:pPr>
            <w:r w:rsidRPr="00172C7B">
              <w:t>364.900,00</w:t>
            </w:r>
          </w:p>
        </w:tc>
      </w:tr>
      <w:tr w:rsidR="007055CA" w:rsidRPr="00172C7B" w14:paraId="44E473D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BB4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A06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D5A9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60D5" w14:textId="77777777" w:rsidR="007055CA" w:rsidRPr="00172C7B" w:rsidRDefault="007055CA" w:rsidP="00AD3CC9">
            <w:pPr>
              <w:jc w:val="right"/>
            </w:pPr>
            <w:r w:rsidRPr="00172C7B">
              <w:t>365.600,00</w:t>
            </w:r>
          </w:p>
        </w:tc>
      </w:tr>
      <w:tr w:rsidR="007055CA" w:rsidRPr="00172C7B" w14:paraId="332FCE81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C3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7E5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013" w14:textId="77777777" w:rsidR="007055CA" w:rsidRPr="00172C7B" w:rsidRDefault="007055CA" w:rsidP="00AD3CC9">
            <w:pPr>
              <w:jc w:val="left"/>
            </w:pPr>
            <w:r w:rsidRPr="00172C7B">
              <w:t>Pomoći iz županijskog proračuna gradu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513F" w14:textId="77777777" w:rsidR="007055CA" w:rsidRPr="00172C7B" w:rsidRDefault="007055CA" w:rsidP="00AD3CC9">
            <w:pPr>
              <w:jc w:val="right"/>
            </w:pPr>
            <w:r w:rsidRPr="00172C7B">
              <w:t>1.500,00</w:t>
            </w:r>
          </w:p>
        </w:tc>
      </w:tr>
      <w:tr w:rsidR="007055CA" w:rsidRPr="00172C7B" w14:paraId="5F5117C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04E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EAC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5FE0" w14:textId="77777777" w:rsidR="007055CA" w:rsidRPr="00172C7B" w:rsidRDefault="007055CA" w:rsidP="00AD3CC9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E3B9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4004E5FE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485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FE4A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2F1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4B06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723E6DE1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FB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151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AFA" w14:textId="77777777" w:rsidR="007055CA" w:rsidRPr="00172C7B" w:rsidRDefault="007055CA" w:rsidP="00AD3CC9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878A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3907D30A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4C25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0794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DF7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7538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09488D8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FD7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8C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B567" w14:textId="77777777" w:rsidR="007055CA" w:rsidRPr="00172C7B" w:rsidRDefault="007055CA" w:rsidP="00AD3CC9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FD99" w14:textId="77777777" w:rsidR="007055CA" w:rsidRPr="00172C7B" w:rsidRDefault="007055CA" w:rsidP="00AD3CC9">
            <w:pPr>
              <w:jc w:val="right"/>
            </w:pPr>
            <w:r w:rsidRPr="00172C7B">
              <w:t>20.000,00</w:t>
            </w:r>
          </w:p>
        </w:tc>
      </w:tr>
      <w:tr w:rsidR="007055CA" w:rsidRPr="00172C7B" w14:paraId="6278CE9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6D2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0C9F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F38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0EB" w14:textId="77777777" w:rsidR="007055CA" w:rsidRPr="00172C7B" w:rsidRDefault="007055CA" w:rsidP="00AD3CC9">
            <w:pPr>
              <w:jc w:val="right"/>
            </w:pPr>
            <w:r w:rsidRPr="00172C7B">
              <w:t>20.000,00</w:t>
            </w:r>
          </w:p>
        </w:tc>
      </w:tr>
      <w:tr w:rsidR="007055CA" w:rsidRPr="00172C7B" w14:paraId="43950624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3AD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3419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8A8F" w14:textId="77777777" w:rsidR="007055CA" w:rsidRPr="00172C7B" w:rsidRDefault="007055CA" w:rsidP="00AD3CC9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3F3" w14:textId="77777777" w:rsidR="007055CA" w:rsidRPr="00172C7B" w:rsidRDefault="007055CA" w:rsidP="00AD3CC9">
            <w:pPr>
              <w:jc w:val="right"/>
            </w:pPr>
            <w:r w:rsidRPr="00172C7B">
              <w:t>25.000,00</w:t>
            </w:r>
          </w:p>
        </w:tc>
      </w:tr>
      <w:tr w:rsidR="007055CA" w:rsidRPr="00172C7B" w14:paraId="5FE6F0E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B0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ACBB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53D5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DA4F" w14:textId="77777777" w:rsidR="007055CA" w:rsidRPr="00172C7B" w:rsidRDefault="007055CA" w:rsidP="00AD3CC9">
            <w:pPr>
              <w:jc w:val="right"/>
            </w:pPr>
            <w:r w:rsidRPr="00172C7B">
              <w:t>25.000,00</w:t>
            </w:r>
          </w:p>
        </w:tc>
      </w:tr>
      <w:tr w:rsidR="007055CA" w:rsidRPr="00172C7B" w14:paraId="04F74BCE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80F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83D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9F3A" w14:textId="77777777" w:rsidR="007055CA" w:rsidRPr="00172C7B" w:rsidRDefault="007055CA" w:rsidP="00AD3CC9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4E36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3C7430E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DDA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0665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4A5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839E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10FDD32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9BA1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28C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7D48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Pojačano održavanje zelenih površina i parkova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0461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200.000,00</w:t>
            </w:r>
          </w:p>
        </w:tc>
      </w:tr>
      <w:tr w:rsidR="007055CA" w:rsidRPr="00172C7B" w14:paraId="7F67954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72A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AD44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487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12B6" w14:textId="77777777" w:rsidR="007055CA" w:rsidRPr="00172C7B" w:rsidRDefault="007055CA" w:rsidP="00AD3CC9">
            <w:pPr>
              <w:jc w:val="right"/>
            </w:pPr>
            <w:r w:rsidRPr="00172C7B">
              <w:t>125.000,00</w:t>
            </w:r>
          </w:p>
        </w:tc>
      </w:tr>
      <w:tr w:rsidR="007055CA" w:rsidRPr="00172C7B" w14:paraId="2302B70D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15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591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D2A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4A8" w14:textId="77777777" w:rsidR="007055CA" w:rsidRPr="00172C7B" w:rsidRDefault="007055CA" w:rsidP="00AD3CC9">
            <w:pPr>
              <w:jc w:val="right"/>
            </w:pPr>
            <w:r w:rsidRPr="00172C7B">
              <w:t>125.000,00</w:t>
            </w:r>
          </w:p>
        </w:tc>
      </w:tr>
      <w:tr w:rsidR="007055CA" w:rsidRPr="00172C7B" w14:paraId="7E516539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54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08B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F9D" w14:textId="77777777" w:rsidR="007055CA" w:rsidRPr="00172C7B" w:rsidRDefault="007055CA" w:rsidP="00AD3CC9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AFF0" w14:textId="77777777" w:rsidR="007055CA" w:rsidRPr="00172C7B" w:rsidRDefault="007055CA" w:rsidP="00AD3CC9">
            <w:pPr>
              <w:jc w:val="right"/>
            </w:pPr>
            <w:r w:rsidRPr="00172C7B">
              <w:t>20.000,00</w:t>
            </w:r>
          </w:p>
        </w:tc>
      </w:tr>
      <w:tr w:rsidR="007055CA" w:rsidRPr="00172C7B" w14:paraId="64E98264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026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FC5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6AB9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1318" w14:textId="77777777" w:rsidR="007055CA" w:rsidRPr="00172C7B" w:rsidRDefault="007055CA" w:rsidP="00AD3CC9">
            <w:pPr>
              <w:jc w:val="right"/>
            </w:pPr>
            <w:r w:rsidRPr="00172C7B">
              <w:t>20.000,00</w:t>
            </w:r>
          </w:p>
        </w:tc>
      </w:tr>
      <w:tr w:rsidR="007055CA" w:rsidRPr="00172C7B" w14:paraId="539C262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E23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F90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720D" w14:textId="77777777" w:rsidR="007055CA" w:rsidRPr="00172C7B" w:rsidRDefault="007055CA" w:rsidP="00AD3CC9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549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30B399A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BC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8F8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CFD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6E9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7767938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B86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26D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50E" w14:textId="77777777" w:rsidR="007055CA" w:rsidRPr="00172C7B" w:rsidRDefault="007055CA" w:rsidP="00AD3CC9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3289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6D1E788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63A2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EC4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B24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3A2B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46D58C6A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AD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5F20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7F9" w14:textId="77777777" w:rsidR="007055CA" w:rsidRPr="00172C7B" w:rsidRDefault="007055CA" w:rsidP="00AD3CC9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3448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1ED06B6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BA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EA3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78B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1BA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26A1631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3327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0F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13C" w14:textId="77777777" w:rsidR="007055CA" w:rsidRPr="00172C7B" w:rsidRDefault="007055CA" w:rsidP="00AD3CC9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8725" w14:textId="77777777" w:rsidR="007055CA" w:rsidRPr="00172C7B" w:rsidRDefault="007055CA" w:rsidP="00AD3CC9">
            <w:pPr>
              <w:jc w:val="right"/>
            </w:pPr>
            <w:r w:rsidRPr="00172C7B">
              <w:t>10.000,00</w:t>
            </w:r>
          </w:p>
        </w:tc>
      </w:tr>
      <w:tr w:rsidR="007055CA" w:rsidRPr="00172C7B" w14:paraId="01E7C82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29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0A6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951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088" w14:textId="77777777" w:rsidR="007055CA" w:rsidRPr="00172C7B" w:rsidRDefault="007055CA" w:rsidP="00AD3CC9">
            <w:pPr>
              <w:jc w:val="right"/>
            </w:pPr>
            <w:r w:rsidRPr="00172C7B">
              <w:t>10.000,00</w:t>
            </w:r>
          </w:p>
        </w:tc>
      </w:tr>
      <w:tr w:rsidR="007055CA" w:rsidRPr="00172C7B" w14:paraId="6D942A7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643E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7896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012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Održavanje i opremanje urbane opreme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CDC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30.000,00</w:t>
            </w:r>
          </w:p>
        </w:tc>
      </w:tr>
      <w:tr w:rsidR="007055CA" w:rsidRPr="00172C7B" w14:paraId="3B5C4FE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1F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BE2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B5F1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01C" w14:textId="77777777" w:rsidR="007055CA" w:rsidRPr="00172C7B" w:rsidRDefault="007055CA" w:rsidP="00AD3CC9">
            <w:pPr>
              <w:jc w:val="right"/>
            </w:pPr>
            <w:r w:rsidRPr="00172C7B">
              <w:t>30.000,00</w:t>
            </w:r>
          </w:p>
        </w:tc>
      </w:tr>
      <w:tr w:rsidR="007055CA" w:rsidRPr="00172C7B" w14:paraId="266417F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22D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73DC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0C9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6BE5" w14:textId="77777777" w:rsidR="007055CA" w:rsidRPr="00172C7B" w:rsidRDefault="007055CA" w:rsidP="00AD3CC9">
            <w:pPr>
              <w:jc w:val="right"/>
            </w:pPr>
            <w:r w:rsidRPr="00172C7B">
              <w:t>30.000,00</w:t>
            </w:r>
          </w:p>
        </w:tc>
      </w:tr>
      <w:tr w:rsidR="007055CA" w:rsidRPr="00172C7B" w14:paraId="5313BB0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4E85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44D2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F379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Zalijevanje trajnica i stablašica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1DE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60.000,00</w:t>
            </w:r>
          </w:p>
        </w:tc>
      </w:tr>
      <w:tr w:rsidR="007055CA" w:rsidRPr="00172C7B" w14:paraId="393FAB4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FC2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BC3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C9DB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B03" w14:textId="77777777" w:rsidR="007055CA" w:rsidRPr="00172C7B" w:rsidRDefault="007055CA" w:rsidP="00AD3CC9">
            <w:pPr>
              <w:jc w:val="right"/>
            </w:pPr>
            <w:r w:rsidRPr="00172C7B">
              <w:t>60.000,00</w:t>
            </w:r>
          </w:p>
        </w:tc>
      </w:tr>
      <w:tr w:rsidR="007055CA" w:rsidRPr="00172C7B" w14:paraId="72C89534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F384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0869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8ED7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120" w14:textId="77777777" w:rsidR="007055CA" w:rsidRPr="00172C7B" w:rsidRDefault="007055CA" w:rsidP="00AD3CC9">
            <w:pPr>
              <w:jc w:val="right"/>
            </w:pPr>
            <w:r w:rsidRPr="00172C7B">
              <w:t>60.000,00</w:t>
            </w:r>
          </w:p>
        </w:tc>
      </w:tr>
      <w:tr w:rsidR="007055CA" w:rsidRPr="00172C7B" w14:paraId="1A74042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F05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586C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DA0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Uređenje i opremanje novih zelenih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64D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13.300,00</w:t>
            </w:r>
          </w:p>
        </w:tc>
      </w:tr>
      <w:tr w:rsidR="007055CA" w:rsidRPr="00172C7B" w14:paraId="5BD87CAA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763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BCD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7AF3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DF3" w14:textId="77777777" w:rsidR="007055CA" w:rsidRPr="00172C7B" w:rsidRDefault="007055CA" w:rsidP="00AD3CC9">
            <w:pPr>
              <w:jc w:val="right"/>
            </w:pPr>
            <w:r w:rsidRPr="00172C7B">
              <w:t>13.300,00</w:t>
            </w:r>
          </w:p>
        </w:tc>
      </w:tr>
      <w:tr w:rsidR="007055CA" w:rsidRPr="00172C7B" w14:paraId="56A8405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A5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416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BF8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9FB" w14:textId="77777777" w:rsidR="007055CA" w:rsidRPr="00172C7B" w:rsidRDefault="007055CA" w:rsidP="00AD3CC9">
            <w:pPr>
              <w:jc w:val="right"/>
            </w:pPr>
            <w:r w:rsidRPr="00172C7B">
              <w:t>13.300,00</w:t>
            </w:r>
          </w:p>
        </w:tc>
      </w:tr>
      <w:tr w:rsidR="007055CA" w:rsidRPr="00172C7B" w14:paraId="57CE001A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1F40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A554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181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Održavanje javnih površina, opreme i igrališta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7179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125.000,00</w:t>
            </w:r>
          </w:p>
        </w:tc>
      </w:tr>
      <w:tr w:rsidR="007055CA" w:rsidRPr="00172C7B" w14:paraId="6DE198B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DAC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5BA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7010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FA71" w14:textId="77777777" w:rsidR="007055CA" w:rsidRPr="00172C7B" w:rsidRDefault="007055CA" w:rsidP="00AD3CC9">
            <w:pPr>
              <w:jc w:val="right"/>
            </w:pPr>
            <w:r w:rsidRPr="00172C7B">
              <w:t>100.000,00</w:t>
            </w:r>
          </w:p>
        </w:tc>
      </w:tr>
      <w:tr w:rsidR="007055CA" w:rsidRPr="00172C7B" w14:paraId="4318FE4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924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F23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2C0C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A07" w14:textId="77777777" w:rsidR="007055CA" w:rsidRPr="00172C7B" w:rsidRDefault="007055CA" w:rsidP="00AD3CC9">
            <w:pPr>
              <w:jc w:val="right"/>
            </w:pPr>
            <w:r w:rsidRPr="00172C7B">
              <w:t>100.000,00</w:t>
            </w:r>
          </w:p>
        </w:tc>
      </w:tr>
      <w:tr w:rsidR="007055CA" w:rsidRPr="00172C7B" w14:paraId="4FA155E9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77E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85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F600" w14:textId="77777777" w:rsidR="007055CA" w:rsidRPr="00172C7B" w:rsidRDefault="007055CA" w:rsidP="00AD3CC9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59E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12BCFB9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AB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A58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7721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F991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590C818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36AD" w14:textId="77777777" w:rsidR="007055CA" w:rsidRPr="00172C7B" w:rsidRDefault="007055CA" w:rsidP="00AD3CC9">
            <w:pPr>
              <w:jc w:val="left"/>
            </w:pPr>
            <w:r w:rsidRPr="00172C7B">
              <w:lastRenderedPageBreak/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89DA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58B" w14:textId="77777777" w:rsidR="007055CA" w:rsidRPr="00172C7B" w:rsidRDefault="007055CA" w:rsidP="00AD3CC9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4B3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54F6572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E9A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4C7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D6D8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A0F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10B4231A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333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693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6DF9" w14:textId="77777777" w:rsidR="007055CA" w:rsidRPr="00172C7B" w:rsidRDefault="007055CA" w:rsidP="00AD3CC9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89E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6E9C25A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5DC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A7C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EF2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20B9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09ADF8F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9C2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72F1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67C" w14:textId="77777777" w:rsidR="007055CA" w:rsidRPr="00172C7B" w:rsidRDefault="007055CA" w:rsidP="00AD3CC9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8235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4B145F4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057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426E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544C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562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2EAA839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EC5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A33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102D" w14:textId="77777777" w:rsidR="007055CA" w:rsidRPr="00172C7B" w:rsidRDefault="007055CA" w:rsidP="00AD3CC9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6C88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7679BDE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C83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04D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7949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D205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70D7FF1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B6E2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DB09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C76D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Zaštita bilja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4A9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45.000,00</w:t>
            </w:r>
          </w:p>
        </w:tc>
      </w:tr>
      <w:tr w:rsidR="007055CA" w:rsidRPr="00172C7B" w14:paraId="72690371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248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C6D5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A728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1D6" w14:textId="77777777" w:rsidR="007055CA" w:rsidRPr="00172C7B" w:rsidRDefault="007055CA" w:rsidP="00AD3CC9">
            <w:pPr>
              <w:jc w:val="right"/>
            </w:pPr>
            <w:r w:rsidRPr="00172C7B">
              <w:t>45.000,00</w:t>
            </w:r>
          </w:p>
        </w:tc>
      </w:tr>
      <w:tr w:rsidR="007055CA" w:rsidRPr="00172C7B" w14:paraId="2E9B785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0B0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514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CBC8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99E3" w14:textId="77777777" w:rsidR="007055CA" w:rsidRPr="00172C7B" w:rsidRDefault="007055CA" w:rsidP="00AD3CC9">
            <w:pPr>
              <w:jc w:val="right"/>
            </w:pPr>
            <w:r w:rsidRPr="00172C7B">
              <w:t>45.000,00</w:t>
            </w:r>
          </w:p>
        </w:tc>
      </w:tr>
      <w:tr w:rsidR="007055CA" w:rsidRPr="00172C7B" w14:paraId="4BBA7EF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E058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61CB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9B6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Pošumljavanje na području Poreča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119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13.300,00</w:t>
            </w:r>
          </w:p>
        </w:tc>
      </w:tr>
      <w:tr w:rsidR="007055CA" w:rsidRPr="00172C7B" w14:paraId="039EAAF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F536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F6A6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3CEF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5C3" w14:textId="77777777" w:rsidR="007055CA" w:rsidRPr="00172C7B" w:rsidRDefault="007055CA" w:rsidP="00AD3CC9">
            <w:pPr>
              <w:jc w:val="right"/>
            </w:pPr>
            <w:r w:rsidRPr="00172C7B">
              <w:t>13.300,00</w:t>
            </w:r>
          </w:p>
        </w:tc>
      </w:tr>
      <w:tr w:rsidR="007055CA" w:rsidRPr="00172C7B" w14:paraId="17EC3F84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43C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5A3A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50FE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E5A9" w14:textId="77777777" w:rsidR="007055CA" w:rsidRPr="00172C7B" w:rsidRDefault="007055CA" w:rsidP="00AD3CC9">
            <w:pPr>
              <w:jc w:val="right"/>
            </w:pPr>
            <w:r w:rsidRPr="00172C7B">
              <w:t>13.300,00</w:t>
            </w:r>
          </w:p>
        </w:tc>
      </w:tr>
      <w:tr w:rsidR="007055CA" w:rsidRPr="00172C7B" w14:paraId="6D69DAA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6A7E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3ECF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FA4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Održavanje rekreacijskih objekata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748C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39.900,00</w:t>
            </w:r>
          </w:p>
        </w:tc>
      </w:tr>
      <w:tr w:rsidR="007055CA" w:rsidRPr="00172C7B" w14:paraId="12E22984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109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A56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2DA8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CC2" w14:textId="77777777" w:rsidR="007055CA" w:rsidRPr="00172C7B" w:rsidRDefault="007055CA" w:rsidP="00AD3CC9">
            <w:pPr>
              <w:jc w:val="right"/>
            </w:pPr>
            <w:r w:rsidRPr="00172C7B">
              <w:t>39.900,00</w:t>
            </w:r>
          </w:p>
        </w:tc>
      </w:tr>
      <w:tr w:rsidR="007055CA" w:rsidRPr="00172C7B" w14:paraId="6CC8F27E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7B0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9FB9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506E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45BB" w14:textId="77777777" w:rsidR="007055CA" w:rsidRPr="00172C7B" w:rsidRDefault="007055CA" w:rsidP="00AD3CC9">
            <w:pPr>
              <w:jc w:val="right"/>
            </w:pPr>
            <w:r w:rsidRPr="00172C7B">
              <w:t>39.900,00</w:t>
            </w:r>
          </w:p>
        </w:tc>
      </w:tr>
      <w:tr w:rsidR="007055CA" w:rsidRPr="00172C7B" w14:paraId="038B0141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CAA0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9E6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B413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Revitalizacija lokvi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D98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18.010,00</w:t>
            </w:r>
          </w:p>
        </w:tc>
      </w:tr>
      <w:tr w:rsidR="007055CA" w:rsidRPr="00172C7B" w14:paraId="20338FE9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D6B6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B27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95D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415F" w14:textId="77777777" w:rsidR="007055CA" w:rsidRPr="00172C7B" w:rsidRDefault="007055CA" w:rsidP="00AD3CC9">
            <w:pPr>
              <w:jc w:val="right"/>
            </w:pPr>
            <w:r w:rsidRPr="00172C7B">
              <w:t>18.010,00</w:t>
            </w:r>
          </w:p>
        </w:tc>
      </w:tr>
      <w:tr w:rsidR="007055CA" w:rsidRPr="00172C7B" w14:paraId="2129789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28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A42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DC73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03A5" w14:textId="77777777" w:rsidR="007055CA" w:rsidRPr="00172C7B" w:rsidRDefault="007055CA" w:rsidP="00AD3CC9">
            <w:pPr>
              <w:jc w:val="right"/>
            </w:pPr>
            <w:r w:rsidRPr="00172C7B">
              <w:t>7.040,00</w:t>
            </w:r>
          </w:p>
        </w:tc>
      </w:tr>
      <w:tr w:rsidR="007055CA" w:rsidRPr="00172C7B" w14:paraId="7C0C20EA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A2F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34A9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5D8" w14:textId="77777777" w:rsidR="007055CA" w:rsidRPr="00172C7B" w:rsidRDefault="007055CA" w:rsidP="00AD3CC9">
            <w:pPr>
              <w:jc w:val="left"/>
            </w:pPr>
            <w:r w:rsidRPr="00172C7B">
              <w:t>Pomoći od izvanproračunskih korisnika gradu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8E8" w14:textId="77777777" w:rsidR="007055CA" w:rsidRPr="00172C7B" w:rsidRDefault="007055CA" w:rsidP="00AD3CC9">
            <w:pPr>
              <w:jc w:val="right"/>
            </w:pPr>
            <w:r w:rsidRPr="00172C7B">
              <w:t>10.970,00</w:t>
            </w:r>
          </w:p>
        </w:tc>
      </w:tr>
      <w:tr w:rsidR="007055CA" w:rsidRPr="00172C7B" w14:paraId="3D01974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9988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F3B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B8C5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Sadnja stabala i mediteranskog bilja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B58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49.500,00</w:t>
            </w:r>
          </w:p>
        </w:tc>
      </w:tr>
      <w:tr w:rsidR="007055CA" w:rsidRPr="00172C7B" w14:paraId="2FCF54A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D23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FFD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F033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97D9" w14:textId="77777777" w:rsidR="007055CA" w:rsidRPr="00172C7B" w:rsidRDefault="007055CA" w:rsidP="00AD3CC9">
            <w:pPr>
              <w:jc w:val="right"/>
            </w:pPr>
            <w:r w:rsidRPr="00172C7B">
              <w:t>49.500,00</w:t>
            </w:r>
          </w:p>
        </w:tc>
      </w:tr>
      <w:tr w:rsidR="007055CA" w:rsidRPr="00172C7B" w14:paraId="24C84CB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8E92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E72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200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8BE" w14:textId="77777777" w:rsidR="007055CA" w:rsidRPr="00172C7B" w:rsidRDefault="007055CA" w:rsidP="00AD3CC9">
            <w:pPr>
              <w:jc w:val="right"/>
            </w:pPr>
            <w:r w:rsidRPr="00172C7B">
              <w:t>12.555,00</w:t>
            </w:r>
          </w:p>
        </w:tc>
      </w:tr>
      <w:tr w:rsidR="007055CA" w:rsidRPr="00172C7B" w14:paraId="643CF369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232E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F5F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9A2C" w14:textId="77777777" w:rsidR="007055CA" w:rsidRPr="00172C7B" w:rsidRDefault="007055CA" w:rsidP="00AD3CC9">
            <w:pPr>
              <w:jc w:val="left"/>
            </w:pPr>
            <w:r w:rsidRPr="00172C7B">
              <w:t>Pomoći od izvanproračunskih korisnika gradu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81F1" w14:textId="77777777" w:rsidR="007055CA" w:rsidRPr="00172C7B" w:rsidRDefault="007055CA" w:rsidP="00AD3CC9">
            <w:pPr>
              <w:jc w:val="right"/>
            </w:pPr>
            <w:r w:rsidRPr="00172C7B">
              <w:t>36.945,00</w:t>
            </w:r>
          </w:p>
        </w:tc>
      </w:tr>
      <w:tr w:rsidR="007055CA" w:rsidRPr="00172C7B" w14:paraId="2AFE38DA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DC76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22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357F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3B1A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1.416.010,00</w:t>
            </w:r>
          </w:p>
        </w:tc>
      </w:tr>
    </w:tbl>
    <w:p w14:paraId="22BFD709" w14:textId="60C5CF83" w:rsidR="00226E2B" w:rsidRPr="00172C7B" w:rsidRDefault="00226E2B" w:rsidP="004349BD"/>
    <w:p w14:paraId="2FF548B6" w14:textId="77777777" w:rsidR="0068364C" w:rsidRPr="00172C7B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r w:rsidRPr="00172C7B">
        <w:rPr>
          <w:szCs w:val="24"/>
        </w:rPr>
        <w:t>ODRŽAVANJE GRAĐEVINA, UREĐAJA I PREDMETA JAVNE NAMJENE</w:t>
      </w:r>
    </w:p>
    <w:p w14:paraId="6FF341CF" w14:textId="652F9111" w:rsidR="0068364C" w:rsidRPr="00172C7B" w:rsidRDefault="0068364C" w:rsidP="004349BD">
      <w:r w:rsidRPr="00172C7B">
        <w:t>Pod održavanjem građevina i uređaja javne namjene podrazumijeva se održavanje, popravci i čišćenje tih građevina, uređaja i predmeta.</w:t>
      </w:r>
      <w:r w:rsidR="0052368A" w:rsidRPr="00172C7B">
        <w:t xml:space="preserve"> </w:t>
      </w:r>
      <w:r w:rsidR="00DE2EEA" w:rsidRPr="00172C7B">
        <w:t>Obuhvaćeno je održavanje 7</w:t>
      </w:r>
      <w:r w:rsidR="00940827" w:rsidRPr="00172C7B">
        <w:t>4</w:t>
      </w:r>
      <w:r w:rsidR="00DE2EEA" w:rsidRPr="00172C7B">
        <w:t xml:space="preserve"> autobusne čekaonice</w:t>
      </w:r>
      <w:r w:rsidR="002A0AD8" w:rsidRPr="00172C7B"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25"/>
        <w:gridCol w:w="1217"/>
        <w:gridCol w:w="5733"/>
        <w:gridCol w:w="1559"/>
      </w:tblGrid>
      <w:tr w:rsidR="007055CA" w:rsidRPr="00172C7B" w14:paraId="4EB677AB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AF61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D7A8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Oznaka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2372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96F7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7055CA" w:rsidRPr="00172C7B" w14:paraId="11BA83B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B15D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93E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545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Održavanje autobusnih čekaonica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EABF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6.700,00</w:t>
            </w:r>
          </w:p>
        </w:tc>
      </w:tr>
      <w:tr w:rsidR="007055CA" w:rsidRPr="00172C7B" w14:paraId="2A0E2A21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032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DD0F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AA6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FC0" w14:textId="77777777" w:rsidR="007055CA" w:rsidRPr="00172C7B" w:rsidRDefault="007055CA" w:rsidP="00AD3CC9">
            <w:pPr>
              <w:jc w:val="right"/>
            </w:pPr>
            <w:r w:rsidRPr="00172C7B">
              <w:t>6.700,00</w:t>
            </w:r>
          </w:p>
        </w:tc>
      </w:tr>
      <w:tr w:rsidR="007055CA" w:rsidRPr="00172C7B" w14:paraId="07B65B9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025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A7A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1B5B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2E27" w14:textId="77777777" w:rsidR="007055CA" w:rsidRPr="00172C7B" w:rsidRDefault="007055CA" w:rsidP="00AD3CC9">
            <w:pPr>
              <w:jc w:val="right"/>
            </w:pPr>
            <w:r w:rsidRPr="00172C7B">
              <w:t>6.700,00</w:t>
            </w:r>
          </w:p>
        </w:tc>
      </w:tr>
      <w:tr w:rsidR="007055CA" w:rsidRPr="00172C7B" w14:paraId="24EEBE4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BBD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69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D20E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EF3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6.700,00</w:t>
            </w:r>
          </w:p>
        </w:tc>
      </w:tr>
    </w:tbl>
    <w:p w14:paraId="684D24A1" w14:textId="77777777" w:rsidR="002A0AD8" w:rsidRPr="00172C7B" w:rsidRDefault="002A0AD8" w:rsidP="004349BD"/>
    <w:p w14:paraId="47A83AFC" w14:textId="77777777" w:rsidR="0068364C" w:rsidRPr="00172C7B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bookmarkStart w:id="2" w:name="_Hlk150410535"/>
      <w:r w:rsidRPr="00172C7B">
        <w:rPr>
          <w:szCs w:val="24"/>
        </w:rPr>
        <w:t>ODRŽAVANJE ČISTOĆE JAVNIH POVRŠINA</w:t>
      </w:r>
    </w:p>
    <w:p w14:paraId="3125517A" w14:textId="77777777" w:rsidR="0094065C" w:rsidRPr="00172C7B" w:rsidRDefault="0094065C" w:rsidP="0094065C">
      <w:r w:rsidRPr="00172C7B"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samouprave, troškove zbrinjavanja te plaćanje poticajne naknade za smanjenje količine miješanog komunalnog otpada.</w:t>
      </w:r>
    </w:p>
    <w:p w14:paraId="7FB389B0" w14:textId="74EE1086" w:rsidR="0094065C" w:rsidRPr="00172C7B" w:rsidRDefault="0094065C" w:rsidP="0094065C">
      <w:r w:rsidRPr="00172C7B">
        <w:t xml:space="preserve">Obuhvaća </w:t>
      </w:r>
      <w:r w:rsidR="006823A4" w:rsidRPr="00172C7B">
        <w:t xml:space="preserve">45.962,00 </w:t>
      </w:r>
      <w:r w:rsidRPr="00172C7B">
        <w:t xml:space="preserve">h ručnog i 1.350 h strojnog pometanja svih ulica, javnih površina, potrošni materijal, 700 h pranja toplovodnim strojem, 120 h pranja </w:t>
      </w:r>
      <w:proofErr w:type="spellStart"/>
      <w:r w:rsidRPr="00172C7B">
        <w:t>multicar</w:t>
      </w:r>
      <w:proofErr w:type="spellEnd"/>
      <w:r w:rsidRPr="00172C7B">
        <w:t xml:space="preserve"> strojem, pražnjenje, odvoz i zbrinjavanje </w:t>
      </w:r>
      <w:r w:rsidR="006823A4" w:rsidRPr="00172C7B">
        <w:t xml:space="preserve">4.500 m3 </w:t>
      </w:r>
      <w:r w:rsidRPr="00172C7B">
        <w:t>otpada iz košarica</w:t>
      </w:r>
      <w:r w:rsidR="006823A4" w:rsidRPr="00172C7B">
        <w:t xml:space="preserve"> te</w:t>
      </w:r>
      <w:r w:rsidRPr="00172C7B">
        <w:t xml:space="preserve"> utovar, prijevoz i zbrinjavanje otpada koji je nepropisno odbačen.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25"/>
        <w:gridCol w:w="1217"/>
        <w:gridCol w:w="5733"/>
        <w:gridCol w:w="1559"/>
      </w:tblGrid>
      <w:tr w:rsidR="007055CA" w:rsidRPr="00172C7B" w14:paraId="64748CA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7FB7FAAF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10F2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Oznaka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FA0A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4194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7055CA" w:rsidRPr="00172C7B" w14:paraId="42C08A71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C95D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C8F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49BE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Redovito održavanje čistoće i pometanje ulica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82A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830.000,00</w:t>
            </w:r>
          </w:p>
        </w:tc>
      </w:tr>
      <w:tr w:rsidR="007055CA" w:rsidRPr="00172C7B" w14:paraId="5192AD7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D9F4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BBA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D29A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243B" w14:textId="77777777" w:rsidR="007055CA" w:rsidRPr="00172C7B" w:rsidRDefault="007055CA" w:rsidP="00AD3CC9">
            <w:pPr>
              <w:jc w:val="right"/>
            </w:pPr>
            <w:r w:rsidRPr="00172C7B">
              <w:t>750.000,00</w:t>
            </w:r>
          </w:p>
        </w:tc>
      </w:tr>
      <w:tr w:rsidR="007055CA" w:rsidRPr="00172C7B" w14:paraId="1B1B5AD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93B" w14:textId="77777777" w:rsidR="007055CA" w:rsidRPr="00172C7B" w:rsidRDefault="007055CA" w:rsidP="00AD3CC9">
            <w:pPr>
              <w:jc w:val="left"/>
            </w:pPr>
            <w:r w:rsidRPr="00172C7B">
              <w:lastRenderedPageBreak/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59A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57D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1682" w14:textId="77777777" w:rsidR="007055CA" w:rsidRPr="00172C7B" w:rsidRDefault="007055CA" w:rsidP="00AD3CC9">
            <w:pPr>
              <w:jc w:val="right"/>
            </w:pPr>
            <w:r w:rsidRPr="00172C7B">
              <w:t>750.000,00</w:t>
            </w:r>
          </w:p>
        </w:tc>
      </w:tr>
      <w:tr w:rsidR="007055CA" w:rsidRPr="00172C7B" w14:paraId="36C1860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7767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6D9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805" w14:textId="77777777" w:rsidR="007055CA" w:rsidRPr="00172C7B" w:rsidRDefault="007055CA" w:rsidP="00AD3CC9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4F3" w14:textId="77777777" w:rsidR="007055CA" w:rsidRPr="00172C7B" w:rsidRDefault="007055CA" w:rsidP="00AD3CC9">
            <w:pPr>
              <w:jc w:val="right"/>
            </w:pPr>
            <w:r w:rsidRPr="00172C7B">
              <w:t>13.000,00</w:t>
            </w:r>
          </w:p>
        </w:tc>
      </w:tr>
      <w:tr w:rsidR="007055CA" w:rsidRPr="00172C7B" w14:paraId="5DE7572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051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C8B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8DF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DD3" w14:textId="77777777" w:rsidR="007055CA" w:rsidRPr="00172C7B" w:rsidRDefault="007055CA" w:rsidP="00AD3CC9">
            <w:pPr>
              <w:jc w:val="right"/>
            </w:pPr>
            <w:r w:rsidRPr="00172C7B">
              <w:t>13.000,00</w:t>
            </w:r>
          </w:p>
        </w:tc>
      </w:tr>
      <w:tr w:rsidR="007055CA" w:rsidRPr="00172C7B" w14:paraId="0C5ACB9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69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FE7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278" w14:textId="77777777" w:rsidR="007055CA" w:rsidRPr="00172C7B" w:rsidRDefault="007055CA" w:rsidP="00AD3CC9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89D" w14:textId="77777777" w:rsidR="007055CA" w:rsidRPr="00172C7B" w:rsidRDefault="007055CA" w:rsidP="00AD3CC9">
            <w:pPr>
              <w:jc w:val="right"/>
            </w:pPr>
            <w:r w:rsidRPr="00172C7B">
              <w:t>13.000,00</w:t>
            </w:r>
          </w:p>
        </w:tc>
      </w:tr>
      <w:tr w:rsidR="007055CA" w:rsidRPr="00172C7B" w14:paraId="535300F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492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ECB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DD80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AB3" w14:textId="77777777" w:rsidR="007055CA" w:rsidRPr="00172C7B" w:rsidRDefault="007055CA" w:rsidP="00AD3CC9">
            <w:pPr>
              <w:jc w:val="right"/>
            </w:pPr>
            <w:r w:rsidRPr="00172C7B">
              <w:t>13.000,00</w:t>
            </w:r>
          </w:p>
        </w:tc>
      </w:tr>
      <w:tr w:rsidR="007055CA" w:rsidRPr="00172C7B" w14:paraId="787041E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8B3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41F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B9E" w14:textId="77777777" w:rsidR="007055CA" w:rsidRPr="00172C7B" w:rsidRDefault="007055CA" w:rsidP="00AD3CC9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245" w14:textId="77777777" w:rsidR="007055CA" w:rsidRPr="00172C7B" w:rsidRDefault="007055CA" w:rsidP="00AD3CC9">
            <w:pPr>
              <w:jc w:val="right"/>
            </w:pPr>
            <w:r w:rsidRPr="00172C7B">
              <w:t>13.000,00</w:t>
            </w:r>
          </w:p>
        </w:tc>
      </w:tr>
      <w:tr w:rsidR="007055CA" w:rsidRPr="00172C7B" w14:paraId="24549A4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504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8189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041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E48" w14:textId="77777777" w:rsidR="007055CA" w:rsidRPr="00172C7B" w:rsidRDefault="007055CA" w:rsidP="00AD3CC9">
            <w:pPr>
              <w:jc w:val="right"/>
            </w:pPr>
            <w:r w:rsidRPr="00172C7B">
              <w:t>13.000,00</w:t>
            </w:r>
          </w:p>
        </w:tc>
      </w:tr>
      <w:tr w:rsidR="007055CA" w:rsidRPr="00172C7B" w14:paraId="280FBEAE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FFB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CBD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46C" w14:textId="77777777" w:rsidR="007055CA" w:rsidRPr="00172C7B" w:rsidRDefault="007055CA" w:rsidP="00AD3CC9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AD6" w14:textId="77777777" w:rsidR="007055CA" w:rsidRPr="00172C7B" w:rsidRDefault="007055CA" w:rsidP="00AD3CC9">
            <w:pPr>
              <w:jc w:val="right"/>
            </w:pPr>
            <w:r w:rsidRPr="00172C7B">
              <w:t>28.000,00</w:t>
            </w:r>
          </w:p>
        </w:tc>
      </w:tr>
      <w:tr w:rsidR="007055CA" w:rsidRPr="00172C7B" w14:paraId="5B11226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FC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84F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28A7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338" w14:textId="77777777" w:rsidR="007055CA" w:rsidRPr="00172C7B" w:rsidRDefault="007055CA" w:rsidP="00AD3CC9">
            <w:pPr>
              <w:jc w:val="right"/>
            </w:pPr>
            <w:r w:rsidRPr="00172C7B">
              <w:t>28.000,00</w:t>
            </w:r>
          </w:p>
        </w:tc>
      </w:tr>
      <w:tr w:rsidR="007055CA" w:rsidRPr="00172C7B" w14:paraId="73490A6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B62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302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A67D" w14:textId="77777777" w:rsidR="007055CA" w:rsidRPr="00172C7B" w:rsidRDefault="007055CA" w:rsidP="00AD3CC9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DD2F" w14:textId="77777777" w:rsidR="007055CA" w:rsidRPr="00172C7B" w:rsidRDefault="007055CA" w:rsidP="00AD3CC9">
            <w:pPr>
              <w:jc w:val="right"/>
            </w:pPr>
            <w:r w:rsidRPr="00172C7B">
              <w:t>13.000,00</w:t>
            </w:r>
          </w:p>
        </w:tc>
      </w:tr>
      <w:tr w:rsidR="007055CA" w:rsidRPr="00172C7B" w14:paraId="67876D0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B8FB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4B6E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710E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2BD6" w14:textId="77777777" w:rsidR="007055CA" w:rsidRPr="00172C7B" w:rsidRDefault="007055CA" w:rsidP="00AD3CC9">
            <w:pPr>
              <w:jc w:val="right"/>
            </w:pPr>
            <w:r w:rsidRPr="00172C7B">
              <w:t>13.000,00</w:t>
            </w:r>
          </w:p>
        </w:tc>
      </w:tr>
      <w:tr w:rsidR="007055CA" w:rsidRPr="00172C7B" w14:paraId="587FB3C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AC1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63F1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89E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Zaštita i očuvanje okoliša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EDF6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38.900,00</w:t>
            </w:r>
          </w:p>
        </w:tc>
      </w:tr>
      <w:tr w:rsidR="007055CA" w:rsidRPr="00172C7B" w14:paraId="7237948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E3F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2ED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7CA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41F" w14:textId="77777777" w:rsidR="007055CA" w:rsidRPr="00172C7B" w:rsidRDefault="007055CA" w:rsidP="00AD3CC9">
            <w:pPr>
              <w:jc w:val="right"/>
            </w:pPr>
            <w:r w:rsidRPr="00172C7B">
              <w:t>27.500,00</w:t>
            </w:r>
          </w:p>
        </w:tc>
      </w:tr>
      <w:tr w:rsidR="007055CA" w:rsidRPr="00172C7B" w14:paraId="7BBDDAA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F2E2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9B0D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F81F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227" w14:textId="77777777" w:rsidR="007055CA" w:rsidRPr="00172C7B" w:rsidRDefault="007055CA" w:rsidP="00AD3CC9">
            <w:pPr>
              <w:jc w:val="right"/>
            </w:pPr>
            <w:r w:rsidRPr="00172C7B">
              <w:t>27.500,00</w:t>
            </w:r>
          </w:p>
        </w:tc>
      </w:tr>
      <w:tr w:rsidR="007055CA" w:rsidRPr="00172C7B" w14:paraId="3C1DAFCB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58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D1C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7A71" w14:textId="77777777" w:rsidR="007055CA" w:rsidRPr="00172C7B" w:rsidRDefault="007055CA" w:rsidP="00AD3CC9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1A24" w14:textId="77777777" w:rsidR="007055CA" w:rsidRPr="00172C7B" w:rsidRDefault="007055CA" w:rsidP="00AD3CC9">
            <w:pPr>
              <w:jc w:val="right"/>
            </w:pPr>
            <w:r w:rsidRPr="00172C7B">
              <w:t>2.000,00</w:t>
            </w:r>
          </w:p>
        </w:tc>
      </w:tr>
      <w:tr w:rsidR="007055CA" w:rsidRPr="00172C7B" w14:paraId="7F8166F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AFB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C007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526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D04" w14:textId="77777777" w:rsidR="007055CA" w:rsidRPr="00172C7B" w:rsidRDefault="007055CA" w:rsidP="00AD3CC9">
            <w:pPr>
              <w:jc w:val="right"/>
            </w:pPr>
            <w:r w:rsidRPr="00172C7B">
              <w:t>2.000,00</w:t>
            </w:r>
          </w:p>
        </w:tc>
      </w:tr>
      <w:tr w:rsidR="007055CA" w:rsidRPr="00172C7B" w14:paraId="76DE5589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FCE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3FD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8FE" w14:textId="77777777" w:rsidR="007055CA" w:rsidRPr="00172C7B" w:rsidRDefault="007055CA" w:rsidP="00AD3CC9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813" w14:textId="77777777" w:rsidR="007055CA" w:rsidRPr="00172C7B" w:rsidRDefault="007055CA" w:rsidP="00AD3CC9">
            <w:pPr>
              <w:jc w:val="right"/>
            </w:pPr>
            <w:r w:rsidRPr="00172C7B">
              <w:t>2.000,00</w:t>
            </w:r>
          </w:p>
        </w:tc>
      </w:tr>
      <w:tr w:rsidR="007055CA" w:rsidRPr="00172C7B" w14:paraId="050CA89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14B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9312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7CD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3A48" w14:textId="77777777" w:rsidR="007055CA" w:rsidRPr="00172C7B" w:rsidRDefault="007055CA" w:rsidP="00AD3CC9">
            <w:pPr>
              <w:jc w:val="right"/>
            </w:pPr>
            <w:r w:rsidRPr="00172C7B">
              <w:t>2.000,00</w:t>
            </w:r>
          </w:p>
        </w:tc>
      </w:tr>
      <w:tr w:rsidR="007055CA" w:rsidRPr="00172C7B" w14:paraId="3298EDD4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075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AA9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D4A" w14:textId="77777777" w:rsidR="007055CA" w:rsidRPr="00172C7B" w:rsidRDefault="007055CA" w:rsidP="00AD3CC9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E5D4" w14:textId="77777777" w:rsidR="007055CA" w:rsidRPr="00172C7B" w:rsidRDefault="007055CA" w:rsidP="00AD3CC9">
            <w:pPr>
              <w:jc w:val="right"/>
            </w:pPr>
            <w:r w:rsidRPr="00172C7B">
              <w:t>2.000,00</w:t>
            </w:r>
          </w:p>
        </w:tc>
      </w:tr>
      <w:tr w:rsidR="007055CA" w:rsidRPr="00172C7B" w14:paraId="6F1BC16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28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E318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B3FB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A117" w14:textId="77777777" w:rsidR="007055CA" w:rsidRPr="00172C7B" w:rsidRDefault="007055CA" w:rsidP="00AD3CC9">
            <w:pPr>
              <w:jc w:val="right"/>
            </w:pPr>
            <w:r w:rsidRPr="00172C7B">
              <w:t>2.000,00</w:t>
            </w:r>
          </w:p>
        </w:tc>
      </w:tr>
      <w:tr w:rsidR="007055CA" w:rsidRPr="00172C7B" w14:paraId="30DF626E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624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AA7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43C" w14:textId="77777777" w:rsidR="007055CA" w:rsidRPr="00172C7B" w:rsidRDefault="007055CA" w:rsidP="00AD3CC9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3ED" w14:textId="77777777" w:rsidR="007055CA" w:rsidRPr="00172C7B" w:rsidRDefault="007055CA" w:rsidP="00AD3CC9">
            <w:pPr>
              <w:jc w:val="right"/>
            </w:pPr>
            <w:r w:rsidRPr="00172C7B">
              <w:t>2.700,00</w:t>
            </w:r>
          </w:p>
        </w:tc>
      </w:tr>
      <w:tr w:rsidR="007055CA" w:rsidRPr="00172C7B" w14:paraId="4690E94D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CC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252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234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8A7F" w14:textId="77777777" w:rsidR="007055CA" w:rsidRPr="00172C7B" w:rsidRDefault="007055CA" w:rsidP="00AD3CC9">
            <w:pPr>
              <w:jc w:val="right"/>
            </w:pPr>
            <w:r w:rsidRPr="00172C7B">
              <w:t>2.700,00</w:t>
            </w:r>
          </w:p>
        </w:tc>
      </w:tr>
      <w:tr w:rsidR="007055CA" w:rsidRPr="00172C7B" w14:paraId="303F30D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D8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D16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174C" w14:textId="77777777" w:rsidR="007055CA" w:rsidRPr="00172C7B" w:rsidRDefault="007055CA" w:rsidP="00AD3CC9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A470" w14:textId="77777777" w:rsidR="007055CA" w:rsidRPr="00172C7B" w:rsidRDefault="007055CA" w:rsidP="00AD3CC9">
            <w:pPr>
              <w:jc w:val="right"/>
            </w:pPr>
            <w:r w:rsidRPr="00172C7B">
              <w:t>2.700,00</w:t>
            </w:r>
          </w:p>
        </w:tc>
      </w:tr>
      <w:tr w:rsidR="007055CA" w:rsidRPr="00172C7B" w14:paraId="4FC80F5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48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82D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F4D3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AF3" w14:textId="77777777" w:rsidR="007055CA" w:rsidRPr="00172C7B" w:rsidRDefault="007055CA" w:rsidP="00AD3CC9">
            <w:pPr>
              <w:jc w:val="right"/>
            </w:pPr>
            <w:r w:rsidRPr="00172C7B">
              <w:t>2.700,00</w:t>
            </w:r>
          </w:p>
        </w:tc>
      </w:tr>
      <w:tr w:rsidR="007055CA" w:rsidRPr="00172C7B" w14:paraId="4299D33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5E3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E1AB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2C8C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F05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868.900,00</w:t>
            </w:r>
          </w:p>
        </w:tc>
      </w:tr>
    </w:tbl>
    <w:p w14:paraId="4C33AB94" w14:textId="77777777" w:rsidR="002A0AD8" w:rsidRPr="00172C7B" w:rsidRDefault="002A0AD8" w:rsidP="004349BD"/>
    <w:p w14:paraId="10003045" w14:textId="77777777" w:rsidR="0068364C" w:rsidRPr="00172C7B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r w:rsidRPr="00172C7B">
        <w:rPr>
          <w:szCs w:val="24"/>
        </w:rPr>
        <w:t xml:space="preserve">ODRŽAVANJE JAVNE RASVJETE    </w:t>
      </w:r>
    </w:p>
    <w:p w14:paraId="72486F86" w14:textId="68B8C881" w:rsidR="0068364C" w:rsidRPr="00172C7B" w:rsidRDefault="0068364C" w:rsidP="004349BD">
      <w:pPr>
        <w:rPr>
          <w:color w:val="000000" w:themeColor="text1"/>
        </w:rPr>
      </w:pPr>
      <w:r w:rsidRPr="00172C7B">
        <w:t xml:space="preserve">Održavanje javne rasvjete podrazumijeva upravljanje i održavanje instalacija javne rasvjete, uključujući podmirivanje troškova električne energije za rasvjetljavanje površina javne </w:t>
      </w:r>
      <w:r w:rsidRPr="00172C7B">
        <w:rPr>
          <w:color w:val="000000" w:themeColor="text1"/>
        </w:rPr>
        <w:t xml:space="preserve">namjene. Obuhvaća cjelokupan sustav javne rasvjete sa </w:t>
      </w:r>
      <w:r w:rsidR="008A303C" w:rsidRPr="00172C7B">
        <w:rPr>
          <w:color w:val="000000" w:themeColor="text1"/>
        </w:rPr>
        <w:t xml:space="preserve">6.125 </w:t>
      </w:r>
      <w:r w:rsidRPr="00172C7B">
        <w:rPr>
          <w:color w:val="000000" w:themeColor="text1"/>
        </w:rPr>
        <w:t xml:space="preserve"> komada rasvjetnih tijela raspoređenih kroz 154 mjerna mjesta u duljini mreže od cca </w:t>
      </w:r>
      <w:r w:rsidR="0052368A" w:rsidRPr="00172C7B">
        <w:rPr>
          <w:color w:val="000000" w:themeColor="text1"/>
        </w:rPr>
        <w:t>11</w:t>
      </w:r>
      <w:r w:rsidR="008A303C" w:rsidRPr="00172C7B">
        <w:rPr>
          <w:color w:val="000000" w:themeColor="text1"/>
        </w:rPr>
        <w:t>7</w:t>
      </w:r>
      <w:r w:rsidRPr="00172C7B">
        <w:rPr>
          <w:color w:val="000000" w:themeColor="text1"/>
        </w:rPr>
        <w:t xml:space="preserve"> km, za sveukupnu instaliranu snagu od </w:t>
      </w:r>
      <w:r w:rsidR="008A303C" w:rsidRPr="00172C7B">
        <w:rPr>
          <w:color w:val="000000" w:themeColor="text1"/>
        </w:rPr>
        <w:t>750</w:t>
      </w:r>
      <w:r w:rsidR="0052368A" w:rsidRPr="00172C7B">
        <w:rPr>
          <w:color w:val="000000" w:themeColor="text1"/>
        </w:rPr>
        <w:t xml:space="preserve"> </w:t>
      </w:r>
      <w:r w:rsidRPr="00172C7B">
        <w:rPr>
          <w:color w:val="000000" w:themeColor="text1"/>
        </w:rPr>
        <w:t>kW.</w:t>
      </w:r>
    </w:p>
    <w:p w14:paraId="5FEB6B2D" w14:textId="77777777" w:rsidR="0068364C" w:rsidRPr="00172C7B" w:rsidRDefault="0068364C" w:rsidP="004349BD">
      <w:r w:rsidRPr="00172C7B">
        <w:t>Supstitucija lampi javne rasvjete podrazumijeva ponovnu upotrebu postojećih svjetiljki javne rasvjete koje će se uklanjati u sklopu projekta modernizacije te njihovu ugradnju u naseljima na širem području.</w:t>
      </w:r>
    </w:p>
    <w:p w14:paraId="657B9528" w14:textId="22378F12" w:rsidR="0068364C" w:rsidRPr="00172C7B" w:rsidRDefault="0068364C" w:rsidP="004349BD">
      <w:r w:rsidRPr="00172C7B">
        <w:t>Energetski pregled javne rasvjete zakonska je obveza koja propisuje da se sustav mora u tom pogledu kontrolirati</w:t>
      </w:r>
      <w:r w:rsidR="00533150" w:rsidRPr="00172C7B">
        <w:t>.</w:t>
      </w:r>
    </w:p>
    <w:p w14:paraId="48786C59" w14:textId="2746ECFE" w:rsidR="008A303C" w:rsidRPr="00172C7B" w:rsidRDefault="008A303C" w:rsidP="004349BD"/>
    <w:tbl>
      <w:tblPr>
        <w:tblW w:w="9067" w:type="dxa"/>
        <w:tblLook w:val="04A0" w:firstRow="1" w:lastRow="0" w:firstColumn="1" w:lastColumn="0" w:noHBand="0" w:noVBand="1"/>
      </w:tblPr>
      <w:tblGrid>
        <w:gridCol w:w="725"/>
        <w:gridCol w:w="1217"/>
        <w:gridCol w:w="5733"/>
        <w:gridCol w:w="1559"/>
      </w:tblGrid>
      <w:tr w:rsidR="007055CA" w:rsidRPr="00172C7B" w14:paraId="62D42B4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8FC0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8ABA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Oznaka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A1C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1EA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7055CA" w:rsidRPr="00172C7B" w14:paraId="41F258C4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673C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1DA0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38C7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Utrošak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EB5F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735.000,00</w:t>
            </w:r>
          </w:p>
        </w:tc>
      </w:tr>
      <w:tr w:rsidR="007055CA" w:rsidRPr="00172C7B" w14:paraId="736E249E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0B5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554A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0F0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4DA" w14:textId="77777777" w:rsidR="007055CA" w:rsidRPr="00172C7B" w:rsidRDefault="007055CA" w:rsidP="00AD3CC9">
            <w:pPr>
              <w:jc w:val="right"/>
            </w:pPr>
            <w:r w:rsidRPr="00172C7B">
              <w:t>500.000,00</w:t>
            </w:r>
          </w:p>
        </w:tc>
      </w:tr>
      <w:tr w:rsidR="007055CA" w:rsidRPr="00172C7B" w14:paraId="331329C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AECB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8314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E3C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0B7" w14:textId="77777777" w:rsidR="007055CA" w:rsidRPr="00172C7B" w:rsidRDefault="007055CA" w:rsidP="00AD3CC9">
            <w:pPr>
              <w:jc w:val="right"/>
            </w:pPr>
            <w:r w:rsidRPr="00172C7B">
              <w:t>500.000,00</w:t>
            </w:r>
          </w:p>
        </w:tc>
      </w:tr>
      <w:tr w:rsidR="007055CA" w:rsidRPr="00172C7B" w14:paraId="46C79DC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AF1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984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0957" w14:textId="77777777" w:rsidR="007055CA" w:rsidRPr="00172C7B" w:rsidRDefault="007055CA" w:rsidP="00AD3CC9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327C" w14:textId="77777777" w:rsidR="007055CA" w:rsidRPr="00172C7B" w:rsidRDefault="007055CA" w:rsidP="00AD3CC9">
            <w:pPr>
              <w:jc w:val="right"/>
            </w:pPr>
            <w:r w:rsidRPr="00172C7B">
              <w:t>35.000,00</w:t>
            </w:r>
          </w:p>
        </w:tc>
      </w:tr>
      <w:tr w:rsidR="007055CA" w:rsidRPr="00172C7B" w14:paraId="443903DB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5B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10FF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ED5E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E3C0" w14:textId="77777777" w:rsidR="007055CA" w:rsidRPr="00172C7B" w:rsidRDefault="007055CA" w:rsidP="00AD3CC9">
            <w:pPr>
              <w:jc w:val="right"/>
            </w:pPr>
            <w:r w:rsidRPr="00172C7B">
              <w:t>35.000,00</w:t>
            </w:r>
          </w:p>
        </w:tc>
      </w:tr>
      <w:tr w:rsidR="007055CA" w:rsidRPr="00172C7B" w14:paraId="70916C2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D0D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5BC5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51DC" w14:textId="77777777" w:rsidR="007055CA" w:rsidRPr="00172C7B" w:rsidRDefault="007055CA" w:rsidP="00AD3CC9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2EBB" w14:textId="77777777" w:rsidR="007055CA" w:rsidRPr="00172C7B" w:rsidRDefault="007055CA" w:rsidP="00AD3CC9">
            <w:pPr>
              <w:jc w:val="right"/>
            </w:pPr>
            <w:r w:rsidRPr="00172C7B">
              <w:t>50.000,00</w:t>
            </w:r>
          </w:p>
        </w:tc>
      </w:tr>
      <w:tr w:rsidR="007055CA" w:rsidRPr="00172C7B" w14:paraId="1E4E4871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466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C218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7CD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F71" w14:textId="77777777" w:rsidR="007055CA" w:rsidRPr="00172C7B" w:rsidRDefault="007055CA" w:rsidP="00AD3CC9">
            <w:pPr>
              <w:jc w:val="right"/>
            </w:pPr>
            <w:r w:rsidRPr="00172C7B">
              <w:t>50.000,00</w:t>
            </w:r>
          </w:p>
        </w:tc>
      </w:tr>
      <w:tr w:rsidR="007055CA" w:rsidRPr="00172C7B" w14:paraId="4D1F9A7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A3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EF3C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44F" w14:textId="77777777" w:rsidR="007055CA" w:rsidRPr="00172C7B" w:rsidRDefault="007055CA" w:rsidP="00AD3CC9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76C" w14:textId="77777777" w:rsidR="007055CA" w:rsidRPr="00172C7B" w:rsidRDefault="007055CA" w:rsidP="00AD3CC9">
            <w:pPr>
              <w:jc w:val="right"/>
            </w:pPr>
            <w:r w:rsidRPr="00172C7B">
              <w:t>45.000,00</w:t>
            </w:r>
          </w:p>
        </w:tc>
      </w:tr>
      <w:tr w:rsidR="007055CA" w:rsidRPr="00172C7B" w14:paraId="67C9060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C6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5EAF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9AF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456" w14:textId="77777777" w:rsidR="007055CA" w:rsidRPr="00172C7B" w:rsidRDefault="007055CA" w:rsidP="00AD3CC9">
            <w:pPr>
              <w:jc w:val="right"/>
            </w:pPr>
            <w:r w:rsidRPr="00172C7B">
              <w:t>45.000,00</w:t>
            </w:r>
          </w:p>
        </w:tc>
      </w:tr>
      <w:tr w:rsidR="007055CA" w:rsidRPr="00172C7B" w14:paraId="5AAE76B4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6B8E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F4F7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5B0F" w14:textId="77777777" w:rsidR="007055CA" w:rsidRPr="00172C7B" w:rsidRDefault="007055CA" w:rsidP="00AD3CC9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230" w14:textId="77777777" w:rsidR="007055CA" w:rsidRPr="00172C7B" w:rsidRDefault="007055CA" w:rsidP="00AD3CC9">
            <w:pPr>
              <w:jc w:val="right"/>
            </w:pPr>
            <w:r w:rsidRPr="00172C7B">
              <w:t>50.000,00</w:t>
            </w:r>
          </w:p>
        </w:tc>
      </w:tr>
      <w:tr w:rsidR="007055CA" w:rsidRPr="00172C7B" w14:paraId="0F2CF3A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B3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93A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B56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00F" w14:textId="77777777" w:rsidR="007055CA" w:rsidRPr="00172C7B" w:rsidRDefault="007055CA" w:rsidP="00AD3CC9">
            <w:pPr>
              <w:jc w:val="right"/>
            </w:pPr>
            <w:r w:rsidRPr="00172C7B">
              <w:t>50.000,00</w:t>
            </w:r>
          </w:p>
        </w:tc>
      </w:tr>
      <w:tr w:rsidR="007055CA" w:rsidRPr="00172C7B" w14:paraId="75677C8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74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E42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6AD7" w14:textId="77777777" w:rsidR="007055CA" w:rsidRPr="00172C7B" w:rsidRDefault="007055CA" w:rsidP="00AD3CC9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16F" w14:textId="77777777" w:rsidR="007055CA" w:rsidRPr="00172C7B" w:rsidRDefault="007055CA" w:rsidP="00AD3CC9">
            <w:pPr>
              <w:jc w:val="right"/>
            </w:pPr>
            <w:r w:rsidRPr="00172C7B">
              <w:t>55.000,00</w:t>
            </w:r>
          </w:p>
        </w:tc>
      </w:tr>
      <w:tr w:rsidR="007055CA" w:rsidRPr="00172C7B" w14:paraId="3B3A14E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4E4" w14:textId="77777777" w:rsidR="007055CA" w:rsidRPr="00172C7B" w:rsidRDefault="007055CA" w:rsidP="00AD3CC9">
            <w:pPr>
              <w:jc w:val="left"/>
            </w:pPr>
            <w:r w:rsidRPr="00172C7B">
              <w:lastRenderedPageBreak/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CD64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68DE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EA15" w14:textId="77777777" w:rsidR="007055CA" w:rsidRPr="00172C7B" w:rsidRDefault="007055CA" w:rsidP="00AD3CC9">
            <w:pPr>
              <w:jc w:val="right"/>
            </w:pPr>
            <w:r w:rsidRPr="00172C7B">
              <w:t>55.000,00</w:t>
            </w:r>
          </w:p>
        </w:tc>
      </w:tr>
      <w:tr w:rsidR="007055CA" w:rsidRPr="00172C7B" w14:paraId="0229220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A8C5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DC7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775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Održavanje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AE3D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238.000,00</w:t>
            </w:r>
          </w:p>
        </w:tc>
      </w:tr>
      <w:tr w:rsidR="007055CA" w:rsidRPr="00172C7B" w14:paraId="56435BE4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D4B5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B1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25F0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270" w14:textId="77777777" w:rsidR="007055CA" w:rsidRPr="00172C7B" w:rsidRDefault="007055CA" w:rsidP="00AD3CC9">
            <w:pPr>
              <w:jc w:val="right"/>
            </w:pPr>
            <w:r w:rsidRPr="00172C7B">
              <w:t>185.000,00</w:t>
            </w:r>
          </w:p>
        </w:tc>
      </w:tr>
      <w:tr w:rsidR="007055CA" w:rsidRPr="00172C7B" w14:paraId="6DD4F6A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56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A24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454D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5DD" w14:textId="77777777" w:rsidR="007055CA" w:rsidRPr="00172C7B" w:rsidRDefault="007055CA" w:rsidP="00AD3CC9">
            <w:pPr>
              <w:jc w:val="right"/>
            </w:pPr>
            <w:r w:rsidRPr="00172C7B">
              <w:t>185.000,00</w:t>
            </w:r>
          </w:p>
        </w:tc>
      </w:tr>
      <w:tr w:rsidR="007055CA" w:rsidRPr="00172C7B" w14:paraId="05EC985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FF6B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7FD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32E1" w14:textId="77777777" w:rsidR="007055CA" w:rsidRPr="00172C7B" w:rsidRDefault="007055CA" w:rsidP="00AD3CC9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A34D" w14:textId="77777777" w:rsidR="007055CA" w:rsidRPr="00172C7B" w:rsidRDefault="007055CA" w:rsidP="00AD3CC9">
            <w:pPr>
              <w:jc w:val="right"/>
            </w:pPr>
            <w:r w:rsidRPr="00172C7B">
              <w:t>10.000,00</w:t>
            </w:r>
          </w:p>
        </w:tc>
      </w:tr>
      <w:tr w:rsidR="007055CA" w:rsidRPr="00172C7B" w14:paraId="4F4967A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38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03CC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6AF9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9F56" w14:textId="77777777" w:rsidR="007055CA" w:rsidRPr="00172C7B" w:rsidRDefault="007055CA" w:rsidP="00AD3CC9">
            <w:pPr>
              <w:jc w:val="right"/>
            </w:pPr>
            <w:r w:rsidRPr="00172C7B">
              <w:t>10.000,00</w:t>
            </w:r>
          </w:p>
        </w:tc>
      </w:tr>
      <w:tr w:rsidR="007055CA" w:rsidRPr="00172C7B" w14:paraId="6F83C0F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176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C601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01E9" w14:textId="77777777" w:rsidR="007055CA" w:rsidRPr="00172C7B" w:rsidRDefault="007055CA" w:rsidP="00AD3CC9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108E" w14:textId="77777777" w:rsidR="007055CA" w:rsidRPr="00172C7B" w:rsidRDefault="007055CA" w:rsidP="00AD3CC9">
            <w:pPr>
              <w:jc w:val="right"/>
            </w:pPr>
            <w:r w:rsidRPr="00172C7B">
              <w:t>11.000,00</w:t>
            </w:r>
          </w:p>
        </w:tc>
      </w:tr>
      <w:tr w:rsidR="007055CA" w:rsidRPr="00172C7B" w14:paraId="3EF598B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E7F2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C33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DFD6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061" w14:textId="77777777" w:rsidR="007055CA" w:rsidRPr="00172C7B" w:rsidRDefault="007055CA" w:rsidP="00AD3CC9">
            <w:pPr>
              <w:jc w:val="right"/>
            </w:pPr>
            <w:r w:rsidRPr="00172C7B">
              <w:t>11.000,00</w:t>
            </w:r>
          </w:p>
        </w:tc>
      </w:tr>
      <w:tr w:rsidR="007055CA" w:rsidRPr="00172C7B" w14:paraId="40457401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E3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162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3A34" w14:textId="77777777" w:rsidR="007055CA" w:rsidRPr="00172C7B" w:rsidRDefault="007055CA" w:rsidP="00AD3CC9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86B4" w14:textId="77777777" w:rsidR="007055CA" w:rsidRPr="00172C7B" w:rsidRDefault="007055CA" w:rsidP="00AD3CC9">
            <w:pPr>
              <w:jc w:val="right"/>
            </w:pPr>
            <w:r w:rsidRPr="00172C7B">
              <w:t>10.000,00</w:t>
            </w:r>
          </w:p>
        </w:tc>
      </w:tr>
      <w:tr w:rsidR="007055CA" w:rsidRPr="00172C7B" w14:paraId="0D8EA38A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2CEE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9176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E08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DB4C" w14:textId="77777777" w:rsidR="007055CA" w:rsidRPr="00172C7B" w:rsidRDefault="007055CA" w:rsidP="00AD3CC9">
            <w:pPr>
              <w:jc w:val="right"/>
            </w:pPr>
            <w:r w:rsidRPr="00172C7B">
              <w:t>10.000,00</w:t>
            </w:r>
          </w:p>
        </w:tc>
      </w:tr>
      <w:tr w:rsidR="007055CA" w:rsidRPr="00172C7B" w14:paraId="07C8BC4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B01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1DC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0324" w14:textId="77777777" w:rsidR="007055CA" w:rsidRPr="00172C7B" w:rsidRDefault="007055CA" w:rsidP="00AD3CC9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2644" w14:textId="77777777" w:rsidR="007055CA" w:rsidRPr="00172C7B" w:rsidRDefault="007055CA" w:rsidP="00AD3CC9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6C33F9F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EE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03C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1E0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DB11" w14:textId="77777777" w:rsidR="007055CA" w:rsidRPr="00172C7B" w:rsidRDefault="007055CA" w:rsidP="00AD3CC9">
            <w:pPr>
              <w:jc w:val="right"/>
            </w:pPr>
            <w:r w:rsidRPr="00172C7B">
              <w:t>12.000,00</w:t>
            </w:r>
          </w:p>
        </w:tc>
      </w:tr>
      <w:tr w:rsidR="007055CA" w:rsidRPr="00172C7B" w14:paraId="687FB94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2397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DCC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D211" w14:textId="77777777" w:rsidR="007055CA" w:rsidRPr="00172C7B" w:rsidRDefault="007055CA" w:rsidP="00AD3CC9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978" w14:textId="77777777" w:rsidR="007055CA" w:rsidRPr="00172C7B" w:rsidRDefault="007055CA" w:rsidP="00AD3CC9">
            <w:pPr>
              <w:jc w:val="right"/>
            </w:pPr>
            <w:r w:rsidRPr="00172C7B">
              <w:t>10.000,00</w:t>
            </w:r>
          </w:p>
        </w:tc>
      </w:tr>
      <w:tr w:rsidR="007055CA" w:rsidRPr="00172C7B" w14:paraId="774C083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939E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810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955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4D1" w14:textId="77777777" w:rsidR="007055CA" w:rsidRPr="00172C7B" w:rsidRDefault="007055CA" w:rsidP="00AD3CC9">
            <w:pPr>
              <w:jc w:val="right"/>
            </w:pPr>
            <w:r w:rsidRPr="00172C7B">
              <w:t>10.000,00</w:t>
            </w:r>
          </w:p>
        </w:tc>
      </w:tr>
      <w:tr w:rsidR="007055CA" w:rsidRPr="00172C7B" w14:paraId="002E1109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19B7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A1F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2C87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Održavanje semafora i svjetleće signalizacije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C02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15.000,00</w:t>
            </w:r>
          </w:p>
        </w:tc>
      </w:tr>
      <w:tr w:rsidR="007055CA" w:rsidRPr="00172C7B" w14:paraId="2F1C5AA9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49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34E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EF5C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5E2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637E1B6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CD1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1C4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571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6B4" w14:textId="77777777" w:rsidR="007055CA" w:rsidRPr="00172C7B" w:rsidRDefault="007055CA" w:rsidP="00AD3CC9">
            <w:pPr>
              <w:jc w:val="right"/>
            </w:pPr>
            <w:r w:rsidRPr="00172C7B">
              <w:t>15.000,00</w:t>
            </w:r>
          </w:p>
        </w:tc>
      </w:tr>
      <w:tr w:rsidR="007055CA" w:rsidRPr="00172C7B" w14:paraId="09C2F3C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7031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EFB9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A02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Utrošak energije za javne površine, opremu i igrališta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E07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83.700,00</w:t>
            </w:r>
          </w:p>
        </w:tc>
      </w:tr>
      <w:tr w:rsidR="007055CA" w:rsidRPr="00172C7B" w14:paraId="69D77E8A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4ED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FDB5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D8C8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23D6" w14:textId="77777777" w:rsidR="007055CA" w:rsidRPr="00172C7B" w:rsidRDefault="007055CA" w:rsidP="00AD3CC9">
            <w:pPr>
              <w:jc w:val="right"/>
            </w:pPr>
            <w:r w:rsidRPr="00172C7B">
              <w:t>75.000,00</w:t>
            </w:r>
          </w:p>
        </w:tc>
      </w:tr>
      <w:tr w:rsidR="007055CA" w:rsidRPr="00172C7B" w14:paraId="7CC155E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5E03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DD7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627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FDD" w14:textId="77777777" w:rsidR="007055CA" w:rsidRPr="00172C7B" w:rsidRDefault="007055CA" w:rsidP="00AD3CC9">
            <w:pPr>
              <w:jc w:val="right"/>
            </w:pPr>
            <w:r w:rsidRPr="00172C7B">
              <w:t>75.000,00</w:t>
            </w:r>
          </w:p>
        </w:tc>
      </w:tr>
      <w:tr w:rsidR="007055CA" w:rsidRPr="00172C7B" w14:paraId="1F1845E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55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C4A6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509" w14:textId="77777777" w:rsidR="007055CA" w:rsidRPr="00172C7B" w:rsidRDefault="007055CA" w:rsidP="00AD3CC9">
            <w:pPr>
              <w:jc w:val="left"/>
            </w:pPr>
            <w:r w:rsidRPr="00172C7B">
              <w:t>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24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4C4DC0D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75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ED1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C70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7B74" w14:textId="77777777" w:rsidR="007055CA" w:rsidRPr="00172C7B" w:rsidRDefault="007055CA" w:rsidP="00AD3CC9">
            <w:pPr>
              <w:jc w:val="right"/>
            </w:pPr>
            <w:r w:rsidRPr="00172C7B">
              <w:t>5.000,00</w:t>
            </w:r>
          </w:p>
        </w:tc>
      </w:tr>
      <w:tr w:rsidR="007055CA" w:rsidRPr="00172C7B" w14:paraId="3B29F1F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98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E465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D88C" w14:textId="77777777" w:rsidR="007055CA" w:rsidRPr="00172C7B" w:rsidRDefault="007055CA" w:rsidP="00AD3CC9">
            <w:pPr>
              <w:jc w:val="left"/>
            </w:pPr>
            <w:r w:rsidRPr="00172C7B">
              <w:t>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553E" w14:textId="77777777" w:rsidR="007055CA" w:rsidRPr="00172C7B" w:rsidRDefault="007055CA" w:rsidP="00AD3CC9">
            <w:pPr>
              <w:jc w:val="right"/>
            </w:pPr>
            <w:r w:rsidRPr="00172C7B">
              <w:t>500,00</w:t>
            </w:r>
          </w:p>
        </w:tc>
      </w:tr>
      <w:tr w:rsidR="007055CA" w:rsidRPr="00172C7B" w14:paraId="01F3875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13F4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A37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9E6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360E" w14:textId="77777777" w:rsidR="007055CA" w:rsidRPr="00172C7B" w:rsidRDefault="007055CA" w:rsidP="00AD3CC9">
            <w:pPr>
              <w:jc w:val="right"/>
            </w:pPr>
            <w:r w:rsidRPr="00172C7B">
              <w:t>500,00</w:t>
            </w:r>
          </w:p>
        </w:tc>
      </w:tr>
      <w:tr w:rsidR="007055CA" w:rsidRPr="00172C7B" w14:paraId="43ACB4D3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B652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5DF4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3548" w14:textId="77777777" w:rsidR="007055CA" w:rsidRPr="00172C7B" w:rsidRDefault="007055CA" w:rsidP="00AD3CC9">
            <w:pPr>
              <w:jc w:val="left"/>
            </w:pPr>
            <w:r w:rsidRPr="00172C7B">
              <w:t>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441" w14:textId="77777777" w:rsidR="007055CA" w:rsidRPr="00172C7B" w:rsidRDefault="007055CA" w:rsidP="00AD3CC9">
            <w:pPr>
              <w:jc w:val="right"/>
            </w:pPr>
            <w:r w:rsidRPr="00172C7B">
              <w:t>200,00</w:t>
            </w:r>
          </w:p>
        </w:tc>
      </w:tr>
      <w:tr w:rsidR="007055CA" w:rsidRPr="00172C7B" w14:paraId="3DF2A8A7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9DE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03FA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7A1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02F8" w14:textId="77777777" w:rsidR="007055CA" w:rsidRPr="00172C7B" w:rsidRDefault="007055CA" w:rsidP="00AD3CC9">
            <w:pPr>
              <w:jc w:val="right"/>
            </w:pPr>
            <w:r w:rsidRPr="00172C7B">
              <w:t>200,00</w:t>
            </w:r>
          </w:p>
        </w:tc>
      </w:tr>
      <w:tr w:rsidR="007055CA" w:rsidRPr="00172C7B" w14:paraId="709115D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F03A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A794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AFAF" w14:textId="77777777" w:rsidR="007055CA" w:rsidRPr="00172C7B" w:rsidRDefault="007055CA" w:rsidP="00AD3CC9">
            <w:pPr>
              <w:jc w:val="left"/>
            </w:pPr>
            <w:r w:rsidRPr="00172C7B">
              <w:t>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9B07" w14:textId="77777777" w:rsidR="007055CA" w:rsidRPr="00172C7B" w:rsidRDefault="007055CA" w:rsidP="00AD3CC9">
            <w:pPr>
              <w:jc w:val="right"/>
            </w:pPr>
            <w:r w:rsidRPr="00172C7B">
              <w:t>2.500,00</w:t>
            </w:r>
          </w:p>
        </w:tc>
      </w:tr>
      <w:tr w:rsidR="007055CA" w:rsidRPr="00172C7B" w14:paraId="54BAA15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98B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ACED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D106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8D41" w14:textId="77777777" w:rsidR="007055CA" w:rsidRPr="00172C7B" w:rsidRDefault="007055CA" w:rsidP="00AD3CC9">
            <w:pPr>
              <w:jc w:val="right"/>
            </w:pPr>
            <w:r w:rsidRPr="00172C7B">
              <w:t>2.500,00</w:t>
            </w:r>
          </w:p>
        </w:tc>
      </w:tr>
      <w:tr w:rsidR="007055CA" w:rsidRPr="00172C7B" w14:paraId="3EF9BC3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52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AEBA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E54" w14:textId="77777777" w:rsidR="007055CA" w:rsidRPr="00172C7B" w:rsidRDefault="007055CA" w:rsidP="00AD3CC9">
            <w:pPr>
              <w:jc w:val="left"/>
            </w:pPr>
            <w:r w:rsidRPr="00172C7B">
              <w:t>MJESNI ODBOR VARVARI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FE4D" w14:textId="77777777" w:rsidR="007055CA" w:rsidRPr="00172C7B" w:rsidRDefault="007055CA" w:rsidP="00AD3CC9">
            <w:pPr>
              <w:jc w:val="right"/>
            </w:pPr>
            <w:r w:rsidRPr="00172C7B">
              <w:t>500,00</w:t>
            </w:r>
          </w:p>
        </w:tc>
      </w:tr>
      <w:tr w:rsidR="007055CA" w:rsidRPr="00172C7B" w14:paraId="50D735A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26C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324A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E8A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648" w14:textId="77777777" w:rsidR="007055CA" w:rsidRPr="00172C7B" w:rsidRDefault="007055CA" w:rsidP="00AD3CC9">
            <w:pPr>
              <w:jc w:val="right"/>
            </w:pPr>
            <w:r w:rsidRPr="00172C7B">
              <w:t>500,00</w:t>
            </w:r>
          </w:p>
        </w:tc>
      </w:tr>
      <w:tr w:rsidR="007055CA" w:rsidRPr="00172C7B" w14:paraId="2B1902F0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237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050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9C99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63C3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1.071.700,00</w:t>
            </w:r>
          </w:p>
        </w:tc>
      </w:tr>
    </w:tbl>
    <w:p w14:paraId="193F7D62" w14:textId="77777777" w:rsidR="008213F3" w:rsidRPr="00172C7B" w:rsidRDefault="008213F3" w:rsidP="004349BD">
      <w:pPr>
        <w:rPr>
          <w:b/>
        </w:rPr>
      </w:pPr>
    </w:p>
    <w:p w14:paraId="33B9D5D2" w14:textId="77777777" w:rsidR="008213F3" w:rsidRPr="00172C7B" w:rsidRDefault="008213F3" w:rsidP="004349BD">
      <w:pPr>
        <w:pStyle w:val="Odlomakpopisa"/>
        <w:numPr>
          <w:ilvl w:val="0"/>
          <w:numId w:val="2"/>
        </w:numPr>
        <w:rPr>
          <w:szCs w:val="24"/>
        </w:rPr>
      </w:pPr>
      <w:r w:rsidRPr="00172C7B">
        <w:rPr>
          <w:szCs w:val="24"/>
        </w:rPr>
        <w:t>PRIGODNO UKRAŠAVANJE GRADA</w:t>
      </w:r>
    </w:p>
    <w:p w14:paraId="450E525D" w14:textId="77777777" w:rsidR="008213F3" w:rsidRPr="00172C7B" w:rsidRDefault="008213F3" w:rsidP="004349BD">
      <w:r w:rsidRPr="00172C7B">
        <w:rPr>
          <w:color w:val="000000" w:themeColor="text1"/>
        </w:rPr>
        <w:t xml:space="preserve">Prigodno ukrašavanje odnosno dekoracija grada obuhvaća poslove postavljanja blagdanske svjetleće dekoracije uključivo sa </w:t>
      </w:r>
      <w:r w:rsidRPr="00172C7B">
        <w:t>preliminarnim testiranjem, održavanjem, skidanjem, prijevozom i skladištenjem te dopunom zamjenskim ili novim elementima.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25"/>
        <w:gridCol w:w="1217"/>
        <w:gridCol w:w="5733"/>
        <w:gridCol w:w="1559"/>
      </w:tblGrid>
      <w:tr w:rsidR="007055CA" w:rsidRPr="00172C7B" w14:paraId="1BD5D875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7BB0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0601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Oznaka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F99A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6D5A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7055CA" w:rsidRPr="00172C7B" w14:paraId="29AF3D8C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445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E1D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72E6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Dekoracija grada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EC5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100.000,00</w:t>
            </w:r>
          </w:p>
        </w:tc>
      </w:tr>
      <w:tr w:rsidR="007055CA" w:rsidRPr="00172C7B" w14:paraId="14C77822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DD41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F134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06F2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E74" w14:textId="77777777" w:rsidR="007055CA" w:rsidRPr="00172C7B" w:rsidRDefault="007055CA" w:rsidP="00AD3CC9">
            <w:pPr>
              <w:jc w:val="right"/>
            </w:pPr>
            <w:r w:rsidRPr="00172C7B">
              <w:t>100.000,00</w:t>
            </w:r>
          </w:p>
        </w:tc>
      </w:tr>
      <w:tr w:rsidR="007055CA" w:rsidRPr="00172C7B" w14:paraId="0B1C43A8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6879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C5AC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178C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3B50" w14:textId="77777777" w:rsidR="007055CA" w:rsidRPr="00172C7B" w:rsidRDefault="007055CA" w:rsidP="00AD3CC9">
            <w:pPr>
              <w:jc w:val="right"/>
            </w:pPr>
            <w:r w:rsidRPr="00172C7B">
              <w:t>100.000,00</w:t>
            </w:r>
          </w:p>
        </w:tc>
      </w:tr>
      <w:tr w:rsidR="007055CA" w:rsidRPr="00172C7B" w14:paraId="17E478AB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4478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9187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B08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438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100.000,00</w:t>
            </w:r>
          </w:p>
        </w:tc>
      </w:tr>
    </w:tbl>
    <w:p w14:paraId="1D6A8A07" w14:textId="77777777" w:rsidR="00A817A4" w:rsidRPr="00172C7B" w:rsidRDefault="00A817A4" w:rsidP="004349BD">
      <w:pPr>
        <w:rPr>
          <w:b/>
        </w:rPr>
      </w:pPr>
    </w:p>
    <w:p w14:paraId="1F9620B3" w14:textId="77777777" w:rsidR="008213F3" w:rsidRPr="00172C7B" w:rsidRDefault="008213F3" w:rsidP="004349BD">
      <w:pPr>
        <w:pStyle w:val="Odlomakpopisa"/>
        <w:numPr>
          <w:ilvl w:val="0"/>
          <w:numId w:val="2"/>
        </w:numPr>
        <w:rPr>
          <w:szCs w:val="24"/>
        </w:rPr>
      </w:pPr>
      <w:r w:rsidRPr="00172C7B">
        <w:rPr>
          <w:szCs w:val="24"/>
        </w:rPr>
        <w:t>ODRŽAVANJE ELEKTROENERGETSKIH POSTROJENJA U VLASNIŠTVU GRADA</w:t>
      </w:r>
    </w:p>
    <w:p w14:paraId="5A37E504" w14:textId="77777777" w:rsidR="008213F3" w:rsidRPr="00172C7B" w:rsidRDefault="008213F3" w:rsidP="004349BD">
      <w:r w:rsidRPr="00172C7B">
        <w:t xml:space="preserve">Održavanje elektroenergetskih postrojenja u vlasništvu grada </w:t>
      </w:r>
      <w:r w:rsidRPr="00172C7B">
        <w:rPr>
          <w:color w:val="000000" w:themeColor="text1"/>
        </w:rPr>
        <w:t>obuhvaća troškove postavljanja i održavanja postrojenja elektroenergetike za potrebe štandova i gradskih manifestacija.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25"/>
        <w:gridCol w:w="1217"/>
        <w:gridCol w:w="5733"/>
        <w:gridCol w:w="1559"/>
      </w:tblGrid>
      <w:tr w:rsidR="007055CA" w:rsidRPr="00172C7B" w14:paraId="4E52C016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6AC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E884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Oznaka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0D75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24EE" w14:textId="77777777" w:rsidR="007055CA" w:rsidRPr="00172C7B" w:rsidRDefault="007055CA" w:rsidP="00AD3CC9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7055CA" w:rsidRPr="00172C7B" w14:paraId="525FF659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EF1F" w14:textId="77777777" w:rsidR="007055CA" w:rsidRPr="00172C7B" w:rsidRDefault="007055CA" w:rsidP="00AD3CC9">
            <w:pPr>
              <w:jc w:val="center"/>
              <w:rPr>
                <w:b/>
                <w:bCs/>
              </w:rPr>
            </w:pPr>
            <w:r w:rsidRPr="00172C7B">
              <w:rPr>
                <w:b/>
                <w:bCs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E04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Aktivnost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C8E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Elektroenergetika za štandove i ostale potrebe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9E6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22.000,00</w:t>
            </w:r>
          </w:p>
        </w:tc>
      </w:tr>
      <w:tr w:rsidR="007055CA" w:rsidRPr="00172C7B" w14:paraId="79A6E7FF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FAB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D11" w14:textId="77777777" w:rsidR="007055CA" w:rsidRPr="00172C7B" w:rsidRDefault="007055CA" w:rsidP="00AD3CC9">
            <w:pPr>
              <w:jc w:val="left"/>
            </w:pPr>
            <w:r w:rsidRPr="00172C7B">
              <w:t xml:space="preserve">Odjel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F3C" w14:textId="77777777" w:rsidR="007055CA" w:rsidRPr="00172C7B" w:rsidRDefault="007055CA" w:rsidP="00AD3CC9">
            <w:pPr>
              <w:jc w:val="left"/>
            </w:pPr>
            <w:r w:rsidRPr="00172C7B">
              <w:t>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A683" w14:textId="77777777" w:rsidR="007055CA" w:rsidRPr="00172C7B" w:rsidRDefault="007055CA" w:rsidP="00AD3CC9">
            <w:pPr>
              <w:jc w:val="right"/>
            </w:pPr>
            <w:r w:rsidRPr="00172C7B">
              <w:t>22.000,00</w:t>
            </w:r>
          </w:p>
        </w:tc>
      </w:tr>
      <w:tr w:rsidR="007055CA" w:rsidRPr="00172C7B" w14:paraId="3C5D013E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1DF2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8D94" w14:textId="77777777" w:rsidR="007055CA" w:rsidRPr="00172C7B" w:rsidRDefault="007055CA" w:rsidP="00AD3CC9">
            <w:pPr>
              <w:jc w:val="left"/>
            </w:pPr>
            <w:r w:rsidRPr="00172C7B">
              <w:t xml:space="preserve">Izvor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373D" w14:textId="77777777" w:rsidR="007055CA" w:rsidRPr="00172C7B" w:rsidRDefault="007055CA" w:rsidP="00AD3CC9">
            <w:pPr>
              <w:jc w:val="left"/>
            </w:pPr>
            <w:r w:rsidRPr="00172C7B">
              <w:t>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C25" w14:textId="77777777" w:rsidR="007055CA" w:rsidRPr="00172C7B" w:rsidRDefault="007055CA" w:rsidP="00AD3CC9">
            <w:pPr>
              <w:jc w:val="right"/>
            </w:pPr>
            <w:r w:rsidRPr="00172C7B">
              <w:t>22.000,00</w:t>
            </w:r>
          </w:p>
        </w:tc>
      </w:tr>
      <w:tr w:rsidR="007055CA" w:rsidRPr="00172C7B" w14:paraId="049DDFBD" w14:textId="77777777" w:rsidTr="00AD3CC9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D48" w14:textId="77777777" w:rsidR="007055CA" w:rsidRPr="00172C7B" w:rsidRDefault="007055CA" w:rsidP="00AD3CC9">
            <w:pPr>
              <w:jc w:val="left"/>
            </w:pPr>
            <w:r w:rsidRPr="00172C7B">
              <w:lastRenderedPageBreak/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11F" w14:textId="77777777" w:rsidR="007055CA" w:rsidRPr="00172C7B" w:rsidRDefault="007055CA" w:rsidP="00AD3CC9">
            <w:pPr>
              <w:jc w:val="left"/>
            </w:pPr>
            <w:r w:rsidRPr="00172C7B"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D33" w14:textId="77777777" w:rsidR="007055CA" w:rsidRPr="00172C7B" w:rsidRDefault="007055CA" w:rsidP="00AD3CC9">
            <w:pPr>
              <w:jc w:val="left"/>
              <w:rPr>
                <w:b/>
                <w:bCs/>
              </w:rPr>
            </w:pPr>
            <w:r w:rsidRPr="00172C7B">
              <w:rPr>
                <w:b/>
                <w:bCs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7413" w14:textId="77777777" w:rsidR="007055CA" w:rsidRPr="00172C7B" w:rsidRDefault="007055CA" w:rsidP="00AD3CC9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</w:rPr>
              <w:t>22.000,00</w:t>
            </w:r>
          </w:p>
        </w:tc>
      </w:tr>
    </w:tbl>
    <w:p w14:paraId="7D6E6172" w14:textId="77777777" w:rsidR="00A817A4" w:rsidRPr="00172C7B" w:rsidRDefault="00A817A4" w:rsidP="004349BD">
      <w:pPr>
        <w:rPr>
          <w:b/>
        </w:rPr>
      </w:pPr>
    </w:p>
    <w:p w14:paraId="34E47C6D" w14:textId="77777777" w:rsidR="0068364C" w:rsidRPr="00172C7B" w:rsidRDefault="0068364C" w:rsidP="004349BD">
      <w:pPr>
        <w:jc w:val="center"/>
        <w:rPr>
          <w:b/>
        </w:rPr>
      </w:pPr>
      <w:r w:rsidRPr="00172C7B">
        <w:rPr>
          <w:b/>
        </w:rPr>
        <w:t>Članak 4.</w:t>
      </w:r>
    </w:p>
    <w:p w14:paraId="3C86233C" w14:textId="77777777" w:rsidR="0068364C" w:rsidRPr="00172C7B" w:rsidRDefault="0068364C" w:rsidP="004349BD">
      <w:pPr>
        <w:outlineLvl w:val="0"/>
      </w:pPr>
      <w:r w:rsidRPr="00172C7B">
        <w:t>Rekapitulacija radova održavanja komunalne infrastrukture po pojedinim stavkama je slijedeća: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6007"/>
        <w:gridCol w:w="1954"/>
      </w:tblGrid>
      <w:tr w:rsidR="0068364C" w:rsidRPr="00172C7B" w14:paraId="54E5346A" w14:textId="77777777" w:rsidTr="008213F3">
        <w:tc>
          <w:tcPr>
            <w:tcW w:w="1101" w:type="dxa"/>
            <w:vAlign w:val="center"/>
          </w:tcPr>
          <w:p w14:paraId="01029323" w14:textId="77777777" w:rsidR="0068364C" w:rsidRPr="00172C7B" w:rsidRDefault="0068364C" w:rsidP="004349BD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  <w:szCs w:val="24"/>
              </w:rPr>
            </w:pPr>
            <w:r w:rsidRPr="00172C7B">
              <w:rPr>
                <w:b/>
                <w:bCs/>
                <w:color w:val="000000"/>
                <w:szCs w:val="24"/>
              </w:rPr>
              <w:t>Red. Br.</w:t>
            </w:r>
          </w:p>
        </w:tc>
        <w:tc>
          <w:tcPr>
            <w:tcW w:w="6007" w:type="dxa"/>
            <w:vAlign w:val="center"/>
          </w:tcPr>
          <w:p w14:paraId="5AD34D20" w14:textId="77777777" w:rsidR="0068364C" w:rsidRPr="00172C7B" w:rsidRDefault="0068364C" w:rsidP="004349BD">
            <w:pPr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Komunalna infrastruktura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7742B34B" w14:textId="77777777" w:rsidR="0068364C" w:rsidRPr="00172C7B" w:rsidRDefault="0068364C" w:rsidP="004349BD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172C7B">
              <w:rPr>
                <w:b/>
                <w:bCs/>
                <w:color w:val="000000"/>
              </w:rPr>
              <w:t>Iznos</w:t>
            </w:r>
          </w:p>
        </w:tc>
      </w:tr>
      <w:tr w:rsidR="0003301A" w:rsidRPr="00172C7B" w14:paraId="36C3BCD3" w14:textId="77777777" w:rsidTr="0005117B">
        <w:tc>
          <w:tcPr>
            <w:tcW w:w="1101" w:type="dxa"/>
          </w:tcPr>
          <w:p w14:paraId="78189D32" w14:textId="77777777" w:rsidR="0003301A" w:rsidRPr="00172C7B" w:rsidRDefault="0003301A" w:rsidP="0003301A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6007" w:type="dxa"/>
            <w:vAlign w:val="center"/>
          </w:tcPr>
          <w:p w14:paraId="63538D6F" w14:textId="42E70032" w:rsidR="0003301A" w:rsidRPr="00172C7B" w:rsidRDefault="0003301A" w:rsidP="0003301A">
            <w:r w:rsidRPr="00172C7B">
              <w:rPr>
                <w:color w:val="000000"/>
              </w:rPr>
              <w:t>Održavanje nerazvrstanih cesta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C859" w14:textId="32FF62DE" w:rsidR="0003301A" w:rsidRPr="00172C7B" w:rsidRDefault="0003301A" w:rsidP="0003301A">
            <w:pPr>
              <w:jc w:val="right"/>
            </w:pPr>
            <w:r w:rsidRPr="00172C7B">
              <w:rPr>
                <w:color w:val="000000"/>
              </w:rPr>
              <w:t>518.170,00</w:t>
            </w:r>
          </w:p>
        </w:tc>
      </w:tr>
      <w:tr w:rsidR="0003301A" w:rsidRPr="00172C7B" w14:paraId="6A5E6CEF" w14:textId="77777777" w:rsidTr="0005117B">
        <w:tc>
          <w:tcPr>
            <w:tcW w:w="1101" w:type="dxa"/>
          </w:tcPr>
          <w:p w14:paraId="0E2FB0DD" w14:textId="77777777" w:rsidR="0003301A" w:rsidRPr="00172C7B" w:rsidRDefault="0003301A" w:rsidP="0003301A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6007" w:type="dxa"/>
            <w:vAlign w:val="center"/>
          </w:tcPr>
          <w:p w14:paraId="56A0C954" w14:textId="0A80BD49" w:rsidR="0003301A" w:rsidRPr="00172C7B" w:rsidRDefault="0003301A" w:rsidP="0003301A">
            <w:r w:rsidRPr="00172C7B">
              <w:rPr>
                <w:color w:val="000000"/>
              </w:rPr>
              <w:t>Održavanje javnih površina na kojima nije dopušten promet motornih vozila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87A72" w14:textId="07EA5CCF" w:rsidR="0003301A" w:rsidRPr="00172C7B" w:rsidRDefault="0003301A" w:rsidP="0003301A">
            <w:pPr>
              <w:jc w:val="right"/>
            </w:pPr>
            <w:r w:rsidRPr="00172C7B">
              <w:rPr>
                <w:color w:val="000000"/>
              </w:rPr>
              <w:t>89.700,00</w:t>
            </w:r>
          </w:p>
        </w:tc>
      </w:tr>
      <w:tr w:rsidR="0003301A" w:rsidRPr="00172C7B" w14:paraId="630BD44B" w14:textId="77777777" w:rsidTr="0005117B">
        <w:tc>
          <w:tcPr>
            <w:tcW w:w="1101" w:type="dxa"/>
          </w:tcPr>
          <w:p w14:paraId="4386010A" w14:textId="77777777" w:rsidR="0003301A" w:rsidRPr="00172C7B" w:rsidRDefault="0003301A" w:rsidP="0003301A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6007" w:type="dxa"/>
            <w:vAlign w:val="center"/>
          </w:tcPr>
          <w:p w14:paraId="06E2ABE9" w14:textId="44F72905" w:rsidR="0003301A" w:rsidRPr="00172C7B" w:rsidRDefault="0003301A" w:rsidP="0003301A">
            <w:r w:rsidRPr="00172C7B">
              <w:rPr>
                <w:color w:val="000000"/>
              </w:rPr>
              <w:t>Održavanje građevina javne odvodnje oborinskih voda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C3DD" w14:textId="58ED8B04" w:rsidR="0003301A" w:rsidRPr="00172C7B" w:rsidRDefault="0003301A" w:rsidP="0003301A">
            <w:pPr>
              <w:jc w:val="right"/>
            </w:pPr>
            <w:r w:rsidRPr="00172C7B">
              <w:rPr>
                <w:color w:val="000000"/>
              </w:rPr>
              <w:t>112.500,00</w:t>
            </w:r>
          </w:p>
        </w:tc>
      </w:tr>
      <w:tr w:rsidR="0003301A" w:rsidRPr="00172C7B" w14:paraId="7AA85448" w14:textId="77777777" w:rsidTr="0005117B">
        <w:tc>
          <w:tcPr>
            <w:tcW w:w="1101" w:type="dxa"/>
          </w:tcPr>
          <w:p w14:paraId="57DC275F" w14:textId="77777777" w:rsidR="0003301A" w:rsidRPr="00172C7B" w:rsidRDefault="0003301A" w:rsidP="0003301A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6007" w:type="dxa"/>
            <w:vAlign w:val="center"/>
          </w:tcPr>
          <w:p w14:paraId="33DF5775" w14:textId="2BFB0F5E" w:rsidR="0003301A" w:rsidRPr="00172C7B" w:rsidRDefault="0003301A" w:rsidP="0003301A">
            <w:r w:rsidRPr="00172C7B">
              <w:rPr>
                <w:color w:val="000000"/>
              </w:rPr>
              <w:t>Održavanje javnih zelenih površina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AE538" w14:textId="598946BD" w:rsidR="0003301A" w:rsidRPr="00172C7B" w:rsidRDefault="0003301A" w:rsidP="0003301A">
            <w:pPr>
              <w:jc w:val="right"/>
            </w:pPr>
            <w:r w:rsidRPr="00172C7B">
              <w:rPr>
                <w:color w:val="000000"/>
              </w:rPr>
              <w:t>1.416.010,00</w:t>
            </w:r>
          </w:p>
        </w:tc>
      </w:tr>
      <w:tr w:rsidR="0003301A" w:rsidRPr="00172C7B" w14:paraId="10AB617E" w14:textId="77777777" w:rsidTr="0005117B">
        <w:tc>
          <w:tcPr>
            <w:tcW w:w="1101" w:type="dxa"/>
          </w:tcPr>
          <w:p w14:paraId="26B63E2D" w14:textId="77777777" w:rsidR="0003301A" w:rsidRPr="00172C7B" w:rsidRDefault="0003301A" w:rsidP="0003301A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6007" w:type="dxa"/>
            <w:vAlign w:val="center"/>
          </w:tcPr>
          <w:p w14:paraId="387C0D1B" w14:textId="026BA658" w:rsidR="0003301A" w:rsidRPr="00172C7B" w:rsidRDefault="0003301A" w:rsidP="0003301A">
            <w:r w:rsidRPr="00172C7B">
              <w:rPr>
                <w:color w:val="000000"/>
              </w:rPr>
              <w:t>Održavanje građevina, uređaja i predmeta javne namjene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8699" w14:textId="76D91DBC" w:rsidR="0003301A" w:rsidRPr="00172C7B" w:rsidRDefault="0003301A" w:rsidP="0003301A">
            <w:pPr>
              <w:jc w:val="right"/>
            </w:pPr>
            <w:r w:rsidRPr="00172C7B">
              <w:rPr>
                <w:color w:val="000000"/>
              </w:rPr>
              <w:t>6.700,00</w:t>
            </w:r>
          </w:p>
        </w:tc>
      </w:tr>
      <w:tr w:rsidR="0003301A" w:rsidRPr="00172C7B" w14:paraId="58EDD7B7" w14:textId="77777777" w:rsidTr="0005117B">
        <w:tc>
          <w:tcPr>
            <w:tcW w:w="1101" w:type="dxa"/>
            <w:tcBorders>
              <w:bottom w:val="single" w:sz="4" w:space="0" w:color="auto"/>
            </w:tcBorders>
          </w:tcPr>
          <w:p w14:paraId="19C7E44F" w14:textId="77777777" w:rsidR="0003301A" w:rsidRPr="00172C7B" w:rsidRDefault="0003301A" w:rsidP="0003301A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  <w:vAlign w:val="center"/>
          </w:tcPr>
          <w:p w14:paraId="248E73C2" w14:textId="0256B61B" w:rsidR="0003301A" w:rsidRPr="00172C7B" w:rsidRDefault="0003301A" w:rsidP="0003301A">
            <w:r w:rsidRPr="00172C7B">
              <w:rPr>
                <w:color w:val="000000"/>
              </w:rPr>
              <w:t>Održavanje čistoće javnih površina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B90C7" w14:textId="5394D724" w:rsidR="0003301A" w:rsidRPr="00172C7B" w:rsidRDefault="0003301A" w:rsidP="0003301A">
            <w:pPr>
              <w:jc w:val="right"/>
            </w:pPr>
            <w:r w:rsidRPr="00172C7B">
              <w:rPr>
                <w:color w:val="000000"/>
              </w:rPr>
              <w:t>868.900,00</w:t>
            </w:r>
          </w:p>
        </w:tc>
      </w:tr>
      <w:tr w:rsidR="0003301A" w:rsidRPr="00172C7B" w14:paraId="2AF7F720" w14:textId="77777777" w:rsidTr="0005117B">
        <w:tc>
          <w:tcPr>
            <w:tcW w:w="1101" w:type="dxa"/>
            <w:tcBorders>
              <w:bottom w:val="single" w:sz="4" w:space="0" w:color="auto"/>
            </w:tcBorders>
          </w:tcPr>
          <w:p w14:paraId="377974E0" w14:textId="77777777" w:rsidR="0003301A" w:rsidRPr="00172C7B" w:rsidRDefault="0003301A" w:rsidP="0003301A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  <w:vAlign w:val="center"/>
          </w:tcPr>
          <w:p w14:paraId="498596B5" w14:textId="100E55CD" w:rsidR="0003301A" w:rsidRPr="00172C7B" w:rsidRDefault="0003301A" w:rsidP="0003301A">
            <w:r w:rsidRPr="00172C7B">
              <w:rPr>
                <w:color w:val="000000"/>
              </w:rPr>
              <w:t xml:space="preserve">Održavanje javne rasvjete   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375B9" w14:textId="10FE5C29" w:rsidR="0003301A" w:rsidRPr="00172C7B" w:rsidRDefault="0003301A" w:rsidP="0003301A">
            <w:pPr>
              <w:jc w:val="right"/>
            </w:pPr>
            <w:r w:rsidRPr="00172C7B">
              <w:rPr>
                <w:color w:val="000000"/>
              </w:rPr>
              <w:t>1.071.700,00</w:t>
            </w:r>
          </w:p>
        </w:tc>
      </w:tr>
      <w:tr w:rsidR="0003301A" w:rsidRPr="00172C7B" w14:paraId="2DE8C410" w14:textId="77777777" w:rsidTr="00051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3F4" w14:textId="77777777" w:rsidR="0003301A" w:rsidRPr="00172C7B" w:rsidRDefault="0003301A" w:rsidP="0003301A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C80" w14:textId="09225DB3" w:rsidR="0003301A" w:rsidRPr="00172C7B" w:rsidRDefault="0003301A" w:rsidP="0003301A">
            <w:pPr>
              <w:rPr>
                <w:b/>
              </w:rPr>
            </w:pPr>
            <w:r w:rsidRPr="00172C7B">
              <w:rPr>
                <w:color w:val="000000" w:themeColor="text1"/>
              </w:rPr>
              <w:t>Prigodno ukrašavanje grada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21192" w14:textId="0671567A" w:rsidR="0003301A" w:rsidRPr="00172C7B" w:rsidRDefault="0003301A" w:rsidP="0003301A">
            <w:pPr>
              <w:jc w:val="right"/>
            </w:pPr>
            <w:r w:rsidRPr="00172C7B">
              <w:rPr>
                <w:color w:val="000000"/>
              </w:rPr>
              <w:t>100.000,00</w:t>
            </w:r>
          </w:p>
        </w:tc>
      </w:tr>
      <w:tr w:rsidR="0003301A" w:rsidRPr="00172C7B" w14:paraId="75130202" w14:textId="77777777" w:rsidTr="00051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23A" w14:textId="77777777" w:rsidR="0003301A" w:rsidRPr="00172C7B" w:rsidRDefault="0003301A" w:rsidP="0003301A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01CC" w14:textId="450F2D82" w:rsidR="0003301A" w:rsidRPr="00172C7B" w:rsidRDefault="0003301A" w:rsidP="0003301A">
            <w:pPr>
              <w:rPr>
                <w:b/>
              </w:rPr>
            </w:pPr>
            <w:r w:rsidRPr="00172C7B">
              <w:rPr>
                <w:color w:val="000000"/>
              </w:rPr>
              <w:t>Održavanje elektroenergetskih postrojenja u vlasništvu grada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6CA13" w14:textId="7251ADFD" w:rsidR="0003301A" w:rsidRPr="00172C7B" w:rsidRDefault="0003301A" w:rsidP="0003301A">
            <w:pPr>
              <w:jc w:val="right"/>
            </w:pPr>
            <w:r w:rsidRPr="00172C7B">
              <w:rPr>
                <w:color w:val="000000"/>
              </w:rPr>
              <w:t>22.000,00</w:t>
            </w:r>
          </w:p>
        </w:tc>
      </w:tr>
      <w:tr w:rsidR="0003301A" w:rsidRPr="00172C7B" w14:paraId="2FF13D70" w14:textId="77777777" w:rsidTr="000511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F06" w14:textId="77777777" w:rsidR="0003301A" w:rsidRPr="00172C7B" w:rsidRDefault="0003301A" w:rsidP="0003301A">
            <w:pPr>
              <w:pStyle w:val="Odlomakpopisa"/>
              <w:outlineLvl w:val="0"/>
              <w:rPr>
                <w:b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B363" w14:textId="428CB3FA" w:rsidR="0003301A" w:rsidRPr="00172C7B" w:rsidRDefault="0003301A" w:rsidP="0003301A">
            <w:pPr>
              <w:rPr>
                <w:b/>
              </w:rPr>
            </w:pPr>
            <w:r w:rsidRPr="00172C7B">
              <w:rPr>
                <w:b/>
                <w:bCs/>
                <w:color w:val="000000"/>
              </w:rPr>
              <w:t>UKUPNO: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C0B2" w14:textId="2AE15B68" w:rsidR="0003301A" w:rsidRPr="00172C7B" w:rsidRDefault="0003301A" w:rsidP="0003301A">
            <w:pPr>
              <w:jc w:val="right"/>
              <w:rPr>
                <w:b/>
                <w:bCs/>
              </w:rPr>
            </w:pPr>
            <w:r w:rsidRPr="00172C7B">
              <w:rPr>
                <w:b/>
                <w:bCs/>
                <w:color w:val="000000"/>
              </w:rPr>
              <w:t>4.205.680,00</w:t>
            </w:r>
          </w:p>
        </w:tc>
      </w:tr>
    </w:tbl>
    <w:p w14:paraId="54CEC42F" w14:textId="77777777" w:rsidR="0068364C" w:rsidRPr="00172C7B" w:rsidRDefault="0068364C" w:rsidP="004349BD">
      <w:pPr>
        <w:outlineLvl w:val="0"/>
      </w:pPr>
    </w:p>
    <w:p w14:paraId="1B491864" w14:textId="3FB88A96" w:rsidR="0068364C" w:rsidRPr="00172C7B" w:rsidRDefault="0068364C" w:rsidP="004349BD">
      <w:pPr>
        <w:outlineLvl w:val="0"/>
      </w:pPr>
      <w:r w:rsidRPr="00172C7B">
        <w:t xml:space="preserve">Ukupna sredstva za realizaciju održavanja komunalne infrastrukture iznose </w:t>
      </w:r>
      <w:r w:rsidR="0003301A" w:rsidRPr="00172C7B">
        <w:t>4.205.680,00</w:t>
      </w:r>
      <w:r w:rsidR="00A817A4" w:rsidRPr="00172C7B">
        <w:t xml:space="preserve"> EUR</w:t>
      </w:r>
    </w:p>
    <w:p w14:paraId="5E397B95" w14:textId="77777777" w:rsidR="003F1005" w:rsidRPr="00172C7B" w:rsidRDefault="003F1005" w:rsidP="004349BD">
      <w:pPr>
        <w:jc w:val="center"/>
        <w:rPr>
          <w:b/>
        </w:rPr>
      </w:pPr>
    </w:p>
    <w:p w14:paraId="5E46F95D" w14:textId="77777777" w:rsidR="003F1005" w:rsidRPr="00172C7B" w:rsidRDefault="003F1005" w:rsidP="004349BD">
      <w:pPr>
        <w:jc w:val="center"/>
        <w:rPr>
          <w:b/>
        </w:rPr>
      </w:pPr>
    </w:p>
    <w:p w14:paraId="63D956C0" w14:textId="77777777" w:rsidR="0068364C" w:rsidRPr="00172C7B" w:rsidRDefault="0068364C" w:rsidP="004349BD">
      <w:pPr>
        <w:jc w:val="center"/>
        <w:rPr>
          <w:b/>
        </w:rPr>
      </w:pPr>
      <w:r w:rsidRPr="00172C7B">
        <w:rPr>
          <w:b/>
        </w:rPr>
        <w:t>Članak 5.</w:t>
      </w:r>
    </w:p>
    <w:p w14:paraId="23E1E828" w14:textId="11129EDE" w:rsidR="0068364C" w:rsidRPr="00172C7B" w:rsidRDefault="0068364C" w:rsidP="004349BD">
      <w:pPr>
        <w:outlineLvl w:val="0"/>
      </w:pPr>
      <w:r w:rsidRPr="00172C7B">
        <w:t>Ovaj Program objavit će se u „Službenom glasniku Grada Poreča-Parenzo“, a stupa na snagu 1</w:t>
      </w:r>
      <w:r w:rsidR="00172C7B">
        <w:t xml:space="preserve">. siječnja </w:t>
      </w:r>
      <w:r w:rsidRPr="00172C7B">
        <w:t>202</w:t>
      </w:r>
      <w:r w:rsidR="0003301A" w:rsidRPr="00172C7B">
        <w:t>5</w:t>
      </w:r>
      <w:r w:rsidRPr="00172C7B">
        <w:t xml:space="preserve">. godine. </w:t>
      </w:r>
    </w:p>
    <w:tbl>
      <w:tblPr>
        <w:tblW w:w="4110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68364C" w:rsidRPr="00172C7B" w14:paraId="6ECD31C4" w14:textId="77777777" w:rsidTr="002A3735">
        <w:tc>
          <w:tcPr>
            <w:tcW w:w="4110" w:type="dxa"/>
          </w:tcPr>
          <w:p w14:paraId="2C94094B" w14:textId="77777777" w:rsidR="003F1005" w:rsidRPr="00172C7B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46355604" w14:textId="77777777" w:rsidR="003F1005" w:rsidRPr="00172C7B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0731B425" w14:textId="77777777" w:rsidR="003F1005" w:rsidRPr="00172C7B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18D89702" w14:textId="77777777" w:rsidR="003F1005" w:rsidRPr="00172C7B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4825D79B" w14:textId="77777777" w:rsidR="0068364C" w:rsidRPr="00172C7B" w:rsidRDefault="0068364C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  <w:r w:rsidRPr="00172C7B">
              <w:rPr>
                <w:b/>
                <w:caps/>
              </w:rPr>
              <w:t>Predsjednik</w:t>
            </w:r>
          </w:p>
        </w:tc>
      </w:tr>
      <w:tr w:rsidR="0068364C" w:rsidRPr="00172C7B" w14:paraId="4FB819F5" w14:textId="77777777" w:rsidTr="002A3735">
        <w:tc>
          <w:tcPr>
            <w:tcW w:w="4110" w:type="dxa"/>
          </w:tcPr>
          <w:p w14:paraId="50FB31F3" w14:textId="77777777" w:rsidR="0068364C" w:rsidRPr="00172C7B" w:rsidRDefault="0068364C" w:rsidP="004349BD">
            <w:pPr>
              <w:tabs>
                <w:tab w:val="center" w:pos="5954"/>
              </w:tabs>
              <w:jc w:val="center"/>
              <w:rPr>
                <w:caps/>
              </w:rPr>
            </w:pPr>
            <w:r w:rsidRPr="00172C7B">
              <w:rPr>
                <w:b/>
                <w:caps/>
              </w:rPr>
              <w:t>Gradskog vijeća</w:t>
            </w:r>
          </w:p>
        </w:tc>
      </w:tr>
      <w:tr w:rsidR="0068364C" w:rsidRPr="00172C7B" w14:paraId="01D3F288" w14:textId="77777777" w:rsidTr="002A3735">
        <w:trPr>
          <w:trHeight w:val="457"/>
        </w:trPr>
        <w:tc>
          <w:tcPr>
            <w:tcW w:w="4110" w:type="dxa"/>
          </w:tcPr>
          <w:p w14:paraId="64C8AE4F" w14:textId="40685E13" w:rsidR="0068364C" w:rsidRPr="00172C7B" w:rsidRDefault="0062495C" w:rsidP="004349BD">
            <w:pPr>
              <w:tabs>
                <w:tab w:val="center" w:pos="5954"/>
              </w:tabs>
              <w:jc w:val="center"/>
            </w:pPr>
            <w:r w:rsidRPr="00172C7B">
              <w:t>Zoran Rabar</w:t>
            </w:r>
          </w:p>
        </w:tc>
      </w:tr>
    </w:tbl>
    <w:p w14:paraId="3B0BF91D" w14:textId="77777777" w:rsidR="003F1005" w:rsidRPr="00172C7B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55609FBC" w14:textId="77777777" w:rsidR="003F1005" w:rsidRPr="00172C7B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76DCC3BD" w14:textId="77777777" w:rsidR="003F1005" w:rsidRPr="00172C7B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0E4E1EB4" w14:textId="77777777" w:rsidR="003F1005" w:rsidRPr="00172C7B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65FC8860" w14:textId="77777777" w:rsidR="003F1005" w:rsidRPr="00172C7B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2408B26E" w14:textId="77777777" w:rsidR="003F1005" w:rsidRPr="00172C7B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2B7D1D88" w14:textId="341D7FF9" w:rsidR="004349BD" w:rsidRPr="00172C7B" w:rsidRDefault="004349BD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6AC33F2B" w14:textId="5F5B56A8" w:rsidR="00DC6129" w:rsidRPr="00172C7B" w:rsidRDefault="00DC6129" w:rsidP="00DC6129">
      <w:pPr>
        <w:rPr>
          <w:lang w:eastAsia="en-US"/>
        </w:rPr>
      </w:pPr>
    </w:p>
    <w:p w14:paraId="4E18611E" w14:textId="18529FEE" w:rsidR="00DC6129" w:rsidRPr="00172C7B" w:rsidRDefault="00DC6129" w:rsidP="00DC6129">
      <w:pPr>
        <w:rPr>
          <w:lang w:eastAsia="en-US"/>
        </w:rPr>
      </w:pPr>
    </w:p>
    <w:p w14:paraId="34CE33BF" w14:textId="65A3E866" w:rsidR="00DC6129" w:rsidRPr="00172C7B" w:rsidRDefault="00DC6129" w:rsidP="00DC6129">
      <w:pPr>
        <w:rPr>
          <w:lang w:eastAsia="en-US"/>
        </w:rPr>
      </w:pPr>
    </w:p>
    <w:p w14:paraId="5C176BDE" w14:textId="09920330" w:rsidR="00DC6129" w:rsidRPr="00172C7B" w:rsidRDefault="00DC6129" w:rsidP="00DC6129">
      <w:pPr>
        <w:rPr>
          <w:lang w:eastAsia="en-US"/>
        </w:rPr>
      </w:pPr>
    </w:p>
    <w:p w14:paraId="4190EC41" w14:textId="6FC44CB5" w:rsidR="00DC6129" w:rsidRPr="00172C7B" w:rsidRDefault="00DC6129" w:rsidP="00DC6129">
      <w:pPr>
        <w:rPr>
          <w:lang w:eastAsia="en-US"/>
        </w:rPr>
      </w:pPr>
    </w:p>
    <w:p w14:paraId="58BFA673" w14:textId="4B617CCB" w:rsidR="00DC6129" w:rsidRPr="00172C7B" w:rsidRDefault="00DC6129" w:rsidP="00DC6129">
      <w:pPr>
        <w:rPr>
          <w:lang w:eastAsia="en-US"/>
        </w:rPr>
      </w:pPr>
    </w:p>
    <w:p w14:paraId="3DCEA891" w14:textId="77777777" w:rsidR="00010A4C" w:rsidRPr="00172C7B" w:rsidRDefault="00010A4C" w:rsidP="0003301A">
      <w:pPr>
        <w:rPr>
          <w:lang w:eastAsia="en-US"/>
        </w:rPr>
      </w:pPr>
    </w:p>
    <w:p w14:paraId="47012E5E" w14:textId="135C9834" w:rsidR="0003301A" w:rsidRPr="00172C7B" w:rsidRDefault="0003301A" w:rsidP="0003301A">
      <w:pPr>
        <w:rPr>
          <w:lang w:eastAsia="en-US"/>
        </w:rPr>
      </w:pPr>
    </w:p>
    <w:p w14:paraId="6247C460" w14:textId="76458DA2" w:rsidR="0003301A" w:rsidRPr="00172C7B" w:rsidRDefault="0003301A" w:rsidP="0003301A">
      <w:pPr>
        <w:rPr>
          <w:lang w:eastAsia="en-US"/>
        </w:rPr>
      </w:pPr>
    </w:p>
    <w:p w14:paraId="233D05D1" w14:textId="79E2B2DC" w:rsidR="0068364C" w:rsidRPr="00172C7B" w:rsidRDefault="0068364C" w:rsidP="0025717C">
      <w:pPr>
        <w:pStyle w:val="Naslov2"/>
        <w:spacing w:before="0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  <w:r w:rsidRPr="00172C7B"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  <w:t>O B R A Z L O Ž E N J E</w:t>
      </w:r>
    </w:p>
    <w:p w14:paraId="7714DF17" w14:textId="77777777" w:rsidR="0068364C" w:rsidRPr="00172C7B" w:rsidRDefault="0068364C" w:rsidP="004349BD"/>
    <w:p w14:paraId="76BF7016" w14:textId="77777777" w:rsidR="0068364C" w:rsidRPr="00172C7B" w:rsidRDefault="0068364C" w:rsidP="004349BD"/>
    <w:p w14:paraId="293BEA37" w14:textId="77777777" w:rsidR="0068364C" w:rsidRPr="00172C7B" w:rsidRDefault="0068364C" w:rsidP="004349BD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172C7B">
        <w:rPr>
          <w:szCs w:val="24"/>
          <w:lang w:val="hr-HR"/>
        </w:rPr>
        <w:t xml:space="preserve">PRAVNI OSNOV </w:t>
      </w:r>
    </w:p>
    <w:p w14:paraId="7A94FAF2" w14:textId="77777777" w:rsidR="0068364C" w:rsidRPr="00172C7B" w:rsidRDefault="0068364C" w:rsidP="004349BD"/>
    <w:p w14:paraId="406C143E" w14:textId="77777777" w:rsidR="0068364C" w:rsidRPr="00172C7B" w:rsidRDefault="0068364C" w:rsidP="004349BD">
      <w:pPr>
        <w:ind w:left="708"/>
      </w:pPr>
      <w:r w:rsidRPr="00172C7B">
        <w:t xml:space="preserve">Temeljem odredbi članka 72. stavak 1. Zakona o komunalnom gospodarstvu ("Narodne Novine" </w:t>
      </w:r>
      <w:r w:rsidRPr="00172C7B">
        <w:rPr>
          <w:bCs/>
        </w:rPr>
        <w:t>broj: 68/18, 110/18 i 32/20),</w:t>
      </w:r>
      <w:r w:rsidRPr="00172C7B">
        <w:t xml:space="preserve"> utvrđena je obveza jedinica lokalne samouprave da za kalendarsku godinu donosi Program održavanja komunalne infrastrukture.</w:t>
      </w:r>
    </w:p>
    <w:p w14:paraId="0D5171F5" w14:textId="77777777" w:rsidR="0068364C" w:rsidRPr="00172C7B" w:rsidRDefault="0068364C" w:rsidP="004349BD"/>
    <w:p w14:paraId="088D78E8" w14:textId="77777777" w:rsidR="0068364C" w:rsidRPr="00172C7B" w:rsidRDefault="0068364C" w:rsidP="004349BD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172C7B">
        <w:rPr>
          <w:szCs w:val="24"/>
          <w:lang w:val="hr-HR"/>
        </w:rPr>
        <w:t>OCJENA STANJA</w:t>
      </w:r>
    </w:p>
    <w:p w14:paraId="366418E6" w14:textId="77777777" w:rsidR="0068364C" w:rsidRPr="00172C7B" w:rsidRDefault="0068364C" w:rsidP="004349BD"/>
    <w:p w14:paraId="391C075F" w14:textId="77777777" w:rsidR="0068364C" w:rsidRPr="00172C7B" w:rsidRDefault="0068364C" w:rsidP="004349BD">
      <w:pPr>
        <w:ind w:left="708"/>
      </w:pPr>
      <w:r w:rsidRPr="00172C7B">
        <w:t>Grad Poreč - Parenzo obavezan je osigurati trajno i kvalitetno obavljanje komunalnih djelatnosti te osigurati održavanje komunalnih objekata i uređaja u stanju funkcionalne sposobnosti poštujući načela utvrđena zakonom.</w:t>
      </w:r>
    </w:p>
    <w:p w14:paraId="03539CDC" w14:textId="77777777" w:rsidR="0068364C" w:rsidRPr="00172C7B" w:rsidRDefault="0068364C" w:rsidP="004349BD"/>
    <w:p w14:paraId="39B55321" w14:textId="77777777" w:rsidR="0068364C" w:rsidRPr="00172C7B" w:rsidRDefault="0068364C" w:rsidP="004349BD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172C7B">
        <w:rPr>
          <w:szCs w:val="24"/>
          <w:lang w:val="hr-HR"/>
        </w:rPr>
        <w:t>OSNOVNA PITANJA KOJA SE UREĐUJU PROGRAMOM</w:t>
      </w:r>
    </w:p>
    <w:p w14:paraId="7C42DD19" w14:textId="77777777" w:rsidR="0068364C" w:rsidRPr="00172C7B" w:rsidRDefault="0068364C" w:rsidP="004349BD">
      <w:pPr>
        <w:ind w:firstLine="862"/>
      </w:pPr>
    </w:p>
    <w:p w14:paraId="3B863D68" w14:textId="15A8DB86" w:rsidR="0068364C" w:rsidRPr="00172C7B" w:rsidRDefault="0068364C" w:rsidP="004349BD">
      <w:pPr>
        <w:ind w:left="708"/>
      </w:pPr>
      <w:r w:rsidRPr="00172C7B">
        <w:t>Upravni odjel za komunalni sustav izradio je prijedlog Programa održavanja komunalne infrastrukture za 202</w:t>
      </w:r>
      <w:r w:rsidR="0003301A" w:rsidRPr="00172C7B">
        <w:t>5</w:t>
      </w:r>
      <w:r w:rsidRPr="00172C7B">
        <w:t xml:space="preserve">. godinu. Programom su obuhvaćeni svi radovi na održavanju nerazvrstanih cesta, javnih površina na kojima nije dopušten promet motornih vozila, građevina javne odvodnje oborinskih voda, javnih zelenih površina, građevina, uređaja i predmeta javne namjene, čistoće javnih površina te javne rasvjete. Program sadrži procjenu troškova po pojedinim stavkama sa izvorima financiranja. Ukupna vrijednost Programa iznosi </w:t>
      </w:r>
      <w:r w:rsidR="0003301A" w:rsidRPr="00172C7B">
        <w:t>4.205.680,00</w:t>
      </w:r>
      <w:r w:rsidR="002F45D6" w:rsidRPr="00172C7B">
        <w:t xml:space="preserve"> EUR.</w:t>
      </w:r>
    </w:p>
    <w:p w14:paraId="1D7C63B9" w14:textId="77777777" w:rsidR="005841F5" w:rsidRPr="00172C7B" w:rsidRDefault="005841F5" w:rsidP="004349BD">
      <w:pPr>
        <w:ind w:left="708"/>
      </w:pPr>
    </w:p>
    <w:p w14:paraId="27EE9B3F" w14:textId="77777777" w:rsidR="0068364C" w:rsidRPr="00172C7B" w:rsidRDefault="0068364C" w:rsidP="004349BD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172C7B">
        <w:rPr>
          <w:szCs w:val="24"/>
          <w:lang w:val="hr-HR"/>
        </w:rPr>
        <w:t>POSLJEDICE PROIZAŠLE DONAŠANJEM OVOG PROGRAMA</w:t>
      </w:r>
    </w:p>
    <w:p w14:paraId="07C678E9" w14:textId="77777777" w:rsidR="0068364C" w:rsidRPr="00172C7B" w:rsidRDefault="0068364C" w:rsidP="004349BD">
      <w:pPr>
        <w:ind w:firstLine="862"/>
      </w:pPr>
    </w:p>
    <w:p w14:paraId="64193EE3" w14:textId="77777777" w:rsidR="0068364C" w:rsidRPr="00172C7B" w:rsidRDefault="0068364C" w:rsidP="004349BD">
      <w:pPr>
        <w:ind w:left="708"/>
      </w:pPr>
      <w:r w:rsidRPr="00172C7B">
        <w:t>Predloženim Programom održavanja komunalne infrastrukture utvrđuju se opis i opseg poslova održavanja objekata i uređaja komunalne infrastrukture s procjenom pojedinačnih troškova po djelatnostima, te iskaz financijskih sredstava potrebnih za ostvarivanje Programa i naznakom izvora financiranja sukladno obvezama koje nalaže Zakon o komunalnom gospodarstvu.</w:t>
      </w:r>
    </w:p>
    <w:p w14:paraId="378E65CE" w14:textId="77777777" w:rsidR="0068364C" w:rsidRPr="00172C7B" w:rsidRDefault="0068364C" w:rsidP="004349BD">
      <w:pPr>
        <w:ind w:firstLine="862"/>
      </w:pPr>
    </w:p>
    <w:p w14:paraId="6CE4536B" w14:textId="77777777" w:rsidR="0068364C" w:rsidRPr="00172C7B" w:rsidRDefault="0068364C" w:rsidP="004349BD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172C7B">
        <w:rPr>
          <w:szCs w:val="24"/>
          <w:lang w:val="hr-HR"/>
        </w:rPr>
        <w:t>SREDSTVA POTREBNA ZA PROVOĐENJE PROGRAMA</w:t>
      </w:r>
    </w:p>
    <w:p w14:paraId="0E6129EF" w14:textId="77777777" w:rsidR="0068364C" w:rsidRPr="00172C7B" w:rsidRDefault="0068364C" w:rsidP="004349BD"/>
    <w:p w14:paraId="40926541" w14:textId="632DD3DE" w:rsidR="0068364C" w:rsidRPr="00172C7B" w:rsidRDefault="0068364C" w:rsidP="004349BD">
      <w:pPr>
        <w:ind w:left="708"/>
      </w:pPr>
      <w:r w:rsidRPr="00172C7B">
        <w:t>Sredstva za provođenje predloženog Programa osigurat će se u Proračunu Grada Poreča - Parenzo za 202</w:t>
      </w:r>
      <w:r w:rsidR="0003301A" w:rsidRPr="00172C7B">
        <w:t>5</w:t>
      </w:r>
      <w:r w:rsidRPr="00172C7B">
        <w:t>. godinu.</w:t>
      </w:r>
    </w:p>
    <w:p w14:paraId="4B4347A1" w14:textId="77777777" w:rsidR="0068364C" w:rsidRPr="00172C7B" w:rsidRDefault="0068364C" w:rsidP="004349BD"/>
    <w:p w14:paraId="6F1FBD3C" w14:textId="77777777" w:rsidR="0068364C" w:rsidRPr="00172C7B" w:rsidRDefault="0068364C" w:rsidP="004349BD"/>
    <w:p w14:paraId="2FAB8728" w14:textId="77777777" w:rsidR="0068364C" w:rsidRPr="00172C7B" w:rsidRDefault="0068364C" w:rsidP="004349BD"/>
    <w:p w14:paraId="626CD3C9" w14:textId="77777777" w:rsidR="008F48AF" w:rsidRPr="00172C7B" w:rsidRDefault="008F48AF" w:rsidP="004349BD"/>
    <w:sectPr w:rsidR="008F48AF" w:rsidRPr="00172C7B" w:rsidSect="00172C7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81"/>
    <w:multiLevelType w:val="hybridMultilevel"/>
    <w:tmpl w:val="0E70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C40"/>
    <w:multiLevelType w:val="hybridMultilevel"/>
    <w:tmpl w:val="41049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5CB7"/>
    <w:multiLevelType w:val="hybridMultilevel"/>
    <w:tmpl w:val="C10ED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3BD"/>
    <w:multiLevelType w:val="hybridMultilevel"/>
    <w:tmpl w:val="7626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1D12"/>
    <w:multiLevelType w:val="hybridMultilevel"/>
    <w:tmpl w:val="1C16FFE0"/>
    <w:lvl w:ilvl="0" w:tplc="8BD60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6CBF"/>
    <w:multiLevelType w:val="hybridMultilevel"/>
    <w:tmpl w:val="569E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0C61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4B3"/>
    <w:multiLevelType w:val="hybridMultilevel"/>
    <w:tmpl w:val="4984C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9051A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E7181"/>
    <w:multiLevelType w:val="hybridMultilevel"/>
    <w:tmpl w:val="6D722BF8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D72565"/>
    <w:multiLevelType w:val="hybridMultilevel"/>
    <w:tmpl w:val="6B44A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11B98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A2599"/>
    <w:multiLevelType w:val="hybridMultilevel"/>
    <w:tmpl w:val="D8E46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A1C6E"/>
    <w:multiLevelType w:val="hybridMultilevel"/>
    <w:tmpl w:val="CB8667D8"/>
    <w:lvl w:ilvl="0" w:tplc="E5F6A6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135CE"/>
    <w:multiLevelType w:val="hybridMultilevel"/>
    <w:tmpl w:val="BABEB3FC"/>
    <w:lvl w:ilvl="0" w:tplc="169C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3"/>
  </w:num>
  <w:num w:numId="6">
    <w:abstractNumId w:val="18"/>
  </w:num>
  <w:num w:numId="7">
    <w:abstractNumId w:val="0"/>
  </w:num>
  <w:num w:numId="8">
    <w:abstractNumId w:val="11"/>
  </w:num>
  <w:num w:numId="9">
    <w:abstractNumId w:val="9"/>
  </w:num>
  <w:num w:numId="10">
    <w:abstractNumId w:val="13"/>
  </w:num>
  <w:num w:numId="11">
    <w:abstractNumId w:val="15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  <w:num w:numId="16">
    <w:abstractNumId w:val="7"/>
  </w:num>
  <w:num w:numId="17">
    <w:abstractNumId w:val="19"/>
  </w:num>
  <w:num w:numId="18">
    <w:abstractNumId w:val="5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4C"/>
    <w:rsid w:val="00010A4C"/>
    <w:rsid w:val="00022025"/>
    <w:rsid w:val="0003301A"/>
    <w:rsid w:val="00054488"/>
    <w:rsid w:val="00172C7B"/>
    <w:rsid w:val="001C32A3"/>
    <w:rsid w:val="00226E2B"/>
    <w:rsid w:val="0025717C"/>
    <w:rsid w:val="00294CB8"/>
    <w:rsid w:val="002A0AD8"/>
    <w:rsid w:val="002F45D6"/>
    <w:rsid w:val="00317B42"/>
    <w:rsid w:val="00335729"/>
    <w:rsid w:val="003816FC"/>
    <w:rsid w:val="003A04C2"/>
    <w:rsid w:val="003B1C3D"/>
    <w:rsid w:val="003D7C64"/>
    <w:rsid w:val="003F1005"/>
    <w:rsid w:val="003F6848"/>
    <w:rsid w:val="00432A93"/>
    <w:rsid w:val="004349BD"/>
    <w:rsid w:val="00475327"/>
    <w:rsid w:val="0052368A"/>
    <w:rsid w:val="00533150"/>
    <w:rsid w:val="00534427"/>
    <w:rsid w:val="00564041"/>
    <w:rsid w:val="00567B7C"/>
    <w:rsid w:val="005841F5"/>
    <w:rsid w:val="005E4DC1"/>
    <w:rsid w:val="0062495C"/>
    <w:rsid w:val="0064615E"/>
    <w:rsid w:val="006823A4"/>
    <w:rsid w:val="0068364C"/>
    <w:rsid w:val="00696FC9"/>
    <w:rsid w:val="006E230F"/>
    <w:rsid w:val="007055CA"/>
    <w:rsid w:val="00723D1E"/>
    <w:rsid w:val="007322D7"/>
    <w:rsid w:val="007E2347"/>
    <w:rsid w:val="008213F3"/>
    <w:rsid w:val="00825A9F"/>
    <w:rsid w:val="008A303C"/>
    <w:rsid w:val="008F48AF"/>
    <w:rsid w:val="0094065C"/>
    <w:rsid w:val="00940827"/>
    <w:rsid w:val="00974463"/>
    <w:rsid w:val="009B590E"/>
    <w:rsid w:val="00A817A4"/>
    <w:rsid w:val="00AC3717"/>
    <w:rsid w:val="00AD648E"/>
    <w:rsid w:val="00AE387B"/>
    <w:rsid w:val="00AE7BE2"/>
    <w:rsid w:val="00B71DBF"/>
    <w:rsid w:val="00BE46B9"/>
    <w:rsid w:val="00BF1AD0"/>
    <w:rsid w:val="00C20C80"/>
    <w:rsid w:val="00CB69C2"/>
    <w:rsid w:val="00DC6129"/>
    <w:rsid w:val="00DE2EEA"/>
    <w:rsid w:val="00E27598"/>
    <w:rsid w:val="00EA7545"/>
    <w:rsid w:val="00EB00D0"/>
    <w:rsid w:val="00F52255"/>
    <w:rsid w:val="00F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2B81"/>
  <w15:chartTrackingRefBased/>
  <w15:docId w15:val="{587D7A65-7632-4DF9-BCEB-42DAB63A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836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8364C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paragraph" w:styleId="Odlomakpopisa">
    <w:name w:val="List Paragraph"/>
    <w:basedOn w:val="Normal"/>
    <w:uiPriority w:val="34"/>
    <w:qFormat/>
    <w:rsid w:val="0068364C"/>
    <w:pPr>
      <w:ind w:left="720"/>
      <w:contextualSpacing/>
    </w:pPr>
    <w:rPr>
      <w:szCs w:val="20"/>
      <w:lang w:val="en-GB" w:eastAsia="en-US"/>
    </w:rPr>
  </w:style>
  <w:style w:type="table" w:styleId="Reetkatablice">
    <w:name w:val="Table Grid"/>
    <w:basedOn w:val="Obinatablica"/>
    <w:rsid w:val="0068364C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7055C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055CA"/>
    <w:rPr>
      <w:color w:val="800080"/>
      <w:u w:val="single"/>
    </w:rPr>
  </w:style>
  <w:style w:type="paragraph" w:customStyle="1" w:styleId="msonormal0">
    <w:name w:val="msonormal"/>
    <w:basedOn w:val="Normal"/>
    <w:rsid w:val="007055CA"/>
    <w:pPr>
      <w:spacing w:before="100" w:beforeAutospacing="1" w:after="100" w:afterAutospacing="1"/>
      <w:jc w:val="left"/>
    </w:pPr>
  </w:style>
  <w:style w:type="paragraph" w:customStyle="1" w:styleId="xl66">
    <w:name w:val="xl66"/>
    <w:basedOn w:val="Normal"/>
    <w:rsid w:val="007055CA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67">
    <w:name w:val="xl67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2">
    <w:name w:val="xl72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2</cp:revision>
  <cp:lastPrinted>2024-11-20T11:57:00Z</cp:lastPrinted>
  <dcterms:created xsi:type="dcterms:W3CDTF">2024-12-05T11:44:00Z</dcterms:created>
  <dcterms:modified xsi:type="dcterms:W3CDTF">2024-12-05T11:44:00Z</dcterms:modified>
</cp:coreProperties>
</file>